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E90B" w14:textId="4905610E" w:rsidR="00D07C27" w:rsidRPr="00D57B30" w:rsidRDefault="00BE3286" w:rsidP="008246F4">
      <w:pPr>
        <w:pStyle w:val="Heading1"/>
        <w:ind w:right="545"/>
        <w:rPr>
          <w:color w:val="1F4E79" w:themeColor="accent1" w:themeShade="80"/>
        </w:rPr>
      </w:pPr>
      <w:r>
        <w:rPr>
          <w:rFonts w:hint="eastAsia"/>
          <w:color w:val="1F4E79" w:themeColor="accent1" w:themeShade="80"/>
        </w:rPr>
        <w:t>议程项目</w:t>
      </w:r>
      <w:r>
        <w:rPr>
          <w:rFonts w:hint="eastAsia"/>
          <w:color w:val="1F4E79" w:themeColor="accent1" w:themeShade="80"/>
        </w:rPr>
        <w:t xml:space="preserve"> 3</w:t>
      </w:r>
      <w:r>
        <w:rPr>
          <w:rFonts w:hint="eastAsia"/>
          <w:color w:val="1F4E79" w:themeColor="accent1" w:themeShade="80"/>
        </w:rPr>
        <w:t>：通用数据保护条例</w:t>
      </w:r>
      <w:r>
        <w:rPr>
          <w:rFonts w:hint="eastAsia"/>
          <w:color w:val="1F4E79" w:themeColor="accent1" w:themeShade="80"/>
        </w:rPr>
        <w:t xml:space="preserve"> (GDPR) </w:t>
      </w:r>
      <w:r>
        <w:rPr>
          <w:rFonts w:hint="eastAsia"/>
          <w:color w:val="1F4E79" w:themeColor="accent1" w:themeShade="80"/>
        </w:rPr>
        <w:t>概述</w:t>
      </w:r>
    </w:p>
    <w:p w14:paraId="4C084511" w14:textId="12608FCB" w:rsidR="00F21D6A" w:rsidRDefault="00D57B30" w:rsidP="00E15459">
      <w:pPr>
        <w:pStyle w:val="Heading2"/>
      </w:pPr>
      <w:r>
        <w:rPr>
          <w:rFonts w:hint="eastAsia"/>
        </w:rPr>
        <w:t>议题</w:t>
      </w:r>
    </w:p>
    <w:p w14:paraId="3640AC1E" w14:textId="6C8642D8" w:rsidR="006075B6" w:rsidRDefault="00001658" w:rsidP="00036D48">
      <w:pPr>
        <w:pStyle w:val="BodyText"/>
      </w:pPr>
      <w:r>
        <w:rPr>
          <w:rFonts w:hint="eastAsia"/>
        </w:rPr>
        <w:t>这是针对</w:t>
      </w:r>
      <w:r>
        <w:rPr>
          <w:rFonts w:hint="eastAsia"/>
        </w:rPr>
        <w:t xml:space="preserve"> ICANN </w:t>
      </w:r>
      <w:r>
        <w:rPr>
          <w:rFonts w:hint="eastAsia"/>
        </w:rPr>
        <w:t>遵守</w:t>
      </w:r>
      <w:r>
        <w:rPr>
          <w:rFonts w:hint="eastAsia"/>
        </w:rPr>
        <w:t xml:space="preserve"> GDPR </w:t>
      </w:r>
      <w:r>
        <w:rPr>
          <w:rFonts w:hint="eastAsia"/>
        </w:rPr>
        <w:t>所产生的政策影响进行的初步总结会议。该会议旨在为</w:t>
      </w:r>
      <w:r>
        <w:rPr>
          <w:rFonts w:hint="eastAsia"/>
        </w:rPr>
        <w:t xml:space="preserve"> GAC </w:t>
      </w:r>
      <w:r>
        <w:rPr>
          <w:rFonts w:hint="eastAsia"/>
        </w:rPr>
        <w:t>提供机会以审查目前状况，考虑如何以最好地方式在</w:t>
      </w:r>
      <w:r>
        <w:rPr>
          <w:rFonts w:hint="eastAsia"/>
        </w:rPr>
        <w:t xml:space="preserve"> ICANN </w:t>
      </w:r>
      <w:r>
        <w:rPr>
          <w:rFonts w:hint="eastAsia"/>
        </w:rPr>
        <w:t>第</w:t>
      </w:r>
      <w:r>
        <w:rPr>
          <w:rFonts w:hint="eastAsia"/>
        </w:rPr>
        <w:t xml:space="preserve"> 62 </w:t>
      </w:r>
      <w:r>
        <w:rPr>
          <w:rFonts w:hint="eastAsia"/>
        </w:rPr>
        <w:t>届会议期间实现其目标。</w:t>
      </w:r>
    </w:p>
    <w:p w14:paraId="29275C1B" w14:textId="22AA3778" w:rsidR="00036D48" w:rsidRDefault="00036D48" w:rsidP="00036D48">
      <w:pPr>
        <w:pStyle w:val="Heading2"/>
      </w:pPr>
      <w:r>
        <w:rPr>
          <w:rFonts w:hint="eastAsia"/>
        </w:rPr>
        <w:t xml:space="preserve">GAC </w:t>
      </w:r>
      <w:r>
        <w:rPr>
          <w:rFonts w:hint="eastAsia"/>
        </w:rPr>
        <w:t>需要采取的行动</w:t>
      </w:r>
    </w:p>
    <w:p w14:paraId="0CCF16EE" w14:textId="58149D68" w:rsidR="00583EE4" w:rsidRDefault="00921B8C" w:rsidP="00036D48">
      <w:pPr>
        <w:pStyle w:val="BodyText"/>
      </w:pPr>
      <w:r>
        <w:rPr>
          <w:rFonts w:hint="eastAsia"/>
        </w:rPr>
        <w:t xml:space="preserve">GAC </w:t>
      </w:r>
      <w:r>
        <w:rPr>
          <w:rFonts w:hint="eastAsia"/>
        </w:rPr>
        <w:t>应考虑按优先次序处理如下事项：</w:t>
      </w:r>
      <w:bookmarkStart w:id="0" w:name="_GoBack"/>
      <w:bookmarkEnd w:id="0"/>
    </w:p>
    <w:p w14:paraId="60F7874A" w14:textId="130DFEA6" w:rsidR="00921B8C" w:rsidRDefault="00921B8C" w:rsidP="00921B8C">
      <w:pPr>
        <w:pStyle w:val="BodyText"/>
        <w:numPr>
          <w:ilvl w:val="0"/>
          <w:numId w:val="24"/>
        </w:numPr>
      </w:pPr>
      <w:r>
        <w:rPr>
          <w:rFonts w:hint="eastAsia"/>
        </w:rPr>
        <w:t xml:space="preserve">GAC </w:t>
      </w:r>
      <w:r>
        <w:rPr>
          <w:rFonts w:hint="eastAsia"/>
        </w:rPr>
        <w:t>在解决与</w:t>
      </w:r>
      <w:r>
        <w:rPr>
          <w:rFonts w:hint="eastAsia"/>
        </w:rPr>
        <w:t xml:space="preserve"> GDPR </w:t>
      </w:r>
      <w:r>
        <w:rPr>
          <w:rFonts w:hint="eastAsia"/>
        </w:rPr>
        <w:t>和</w:t>
      </w:r>
      <w:r>
        <w:rPr>
          <w:rFonts w:hint="eastAsia"/>
        </w:rPr>
        <w:t xml:space="preserve"> WHOIS </w:t>
      </w:r>
      <w:r>
        <w:rPr>
          <w:rFonts w:hint="eastAsia"/>
        </w:rPr>
        <w:t>有关未决问题方面的责任和协议，包括：</w:t>
      </w:r>
    </w:p>
    <w:p w14:paraId="1AEED4D6" w14:textId="62C538F6" w:rsidR="00921B8C" w:rsidRDefault="00D35147" w:rsidP="00921B8C">
      <w:pPr>
        <w:pStyle w:val="BodyText"/>
        <w:numPr>
          <w:ilvl w:val="0"/>
          <w:numId w:val="25"/>
        </w:numPr>
      </w:pPr>
      <w:r>
        <w:rPr>
          <w:rFonts w:hint="eastAsia"/>
        </w:rPr>
        <w:t>认同在</w:t>
      </w:r>
      <w:r>
        <w:rPr>
          <w:rFonts w:hint="eastAsia"/>
        </w:rPr>
        <w:t xml:space="preserve"> GAC </w:t>
      </w:r>
      <w:r>
        <w:rPr>
          <w:rFonts w:hint="eastAsia"/>
        </w:rPr>
        <w:t>公共安全工作组</w:t>
      </w:r>
      <w:r>
        <w:rPr>
          <w:rFonts w:hint="eastAsia"/>
        </w:rPr>
        <w:t xml:space="preserve"> (PSWG) </w:t>
      </w:r>
      <w:r>
        <w:rPr>
          <w:rFonts w:hint="eastAsia"/>
        </w:rPr>
        <w:t>的适当支持下，确保在这方面取得良好的公共政策成果是</w:t>
      </w:r>
      <w:r>
        <w:rPr>
          <w:rFonts w:hint="eastAsia"/>
        </w:rPr>
        <w:t xml:space="preserve"> GAC </w:t>
      </w:r>
      <w:r>
        <w:rPr>
          <w:rFonts w:hint="eastAsia"/>
        </w:rPr>
        <w:t>全体人员要考虑的事项。</w:t>
      </w:r>
      <w:r>
        <w:rPr>
          <w:rFonts w:hint="eastAsia"/>
        </w:rPr>
        <w:t xml:space="preserve"> </w:t>
      </w:r>
    </w:p>
    <w:p w14:paraId="67F596BF" w14:textId="43DE756C" w:rsidR="00921B8C" w:rsidRDefault="00921B8C" w:rsidP="00921B8C">
      <w:pPr>
        <w:pStyle w:val="BodyText"/>
        <w:numPr>
          <w:ilvl w:val="0"/>
          <w:numId w:val="25"/>
        </w:numPr>
      </w:pPr>
      <w:r>
        <w:rPr>
          <w:rFonts w:hint="eastAsia"/>
        </w:rPr>
        <w:t>确认</w:t>
      </w:r>
      <w:r>
        <w:rPr>
          <w:rFonts w:hint="eastAsia"/>
        </w:rPr>
        <w:t xml:space="preserve"> GAC </w:t>
      </w:r>
      <w:r>
        <w:rPr>
          <w:rFonts w:hint="eastAsia"/>
        </w:rPr>
        <w:t>协调小组成员，使</w:t>
      </w:r>
      <w:r>
        <w:rPr>
          <w:rFonts w:hint="eastAsia"/>
        </w:rPr>
        <w:t xml:space="preserve"> GAC </w:t>
      </w:r>
      <w:r>
        <w:rPr>
          <w:rFonts w:hint="eastAsia"/>
        </w:rPr>
        <w:t>能够更方便地为可能开展的任何</w:t>
      </w:r>
      <w:r>
        <w:rPr>
          <w:rFonts w:hint="eastAsia"/>
        </w:rPr>
        <w:t xml:space="preserve"> GNSO </w:t>
      </w:r>
      <w:r>
        <w:rPr>
          <w:rFonts w:hint="eastAsia"/>
        </w:rPr>
        <w:t>政策制定流程以及其他相关社群流程献计献策：目前的志愿者来自印度、美国、欧盟委员会以及</w:t>
      </w:r>
      <w:r>
        <w:rPr>
          <w:rFonts w:hint="eastAsia"/>
        </w:rPr>
        <w:t xml:space="preserve"> PSWG </w:t>
      </w:r>
      <w:r>
        <w:rPr>
          <w:rFonts w:hint="eastAsia"/>
        </w:rPr>
        <w:t>联合主席。</w:t>
      </w:r>
    </w:p>
    <w:p w14:paraId="1E0F068D" w14:textId="1762DDF9" w:rsidR="00921B8C" w:rsidRDefault="00921B8C" w:rsidP="00921B8C">
      <w:pPr>
        <w:pStyle w:val="BodyText"/>
        <w:numPr>
          <w:ilvl w:val="0"/>
          <w:numId w:val="24"/>
        </w:numPr>
      </w:pPr>
      <w:r>
        <w:rPr>
          <w:rFonts w:hint="eastAsia"/>
        </w:rPr>
        <w:t>确保</w:t>
      </w:r>
      <w:r>
        <w:rPr>
          <w:rFonts w:hint="eastAsia"/>
        </w:rPr>
        <w:t xml:space="preserve"> GAC </w:t>
      </w:r>
      <w:r>
        <w:rPr>
          <w:rFonts w:hint="eastAsia"/>
        </w:rPr>
        <w:t>就该事项向董事会提出的建议不超出董事会可开展工作的范畴；积极参与其他流程（包括任何</w:t>
      </w:r>
      <w:r>
        <w:rPr>
          <w:rFonts w:hint="eastAsia"/>
        </w:rPr>
        <w:t xml:space="preserve"> GNSO PDP</w:t>
      </w:r>
      <w:r>
        <w:rPr>
          <w:rFonts w:hint="eastAsia"/>
        </w:rPr>
        <w:t>），对任何建议进行补充。</w:t>
      </w:r>
    </w:p>
    <w:p w14:paraId="305304B5" w14:textId="1B5A7E85" w:rsidR="00A25553" w:rsidRDefault="00672691" w:rsidP="00A25553">
      <w:pPr>
        <w:pStyle w:val="BodyText"/>
        <w:numPr>
          <w:ilvl w:val="0"/>
          <w:numId w:val="24"/>
        </w:numPr>
      </w:pPr>
      <w:r>
        <w:rPr>
          <w:rFonts w:hint="eastAsia"/>
        </w:rPr>
        <w:t>认同</w:t>
      </w:r>
      <w:r>
        <w:rPr>
          <w:rFonts w:hint="eastAsia"/>
        </w:rPr>
        <w:t xml:space="preserve"> GAC </w:t>
      </w:r>
      <w:r>
        <w:rPr>
          <w:rFonts w:hint="eastAsia"/>
        </w:rPr>
        <w:t>目前的实质性政策目标是以下在</w:t>
      </w:r>
      <w:r w:rsidR="008331DD">
        <w:rPr>
          <w:rStyle w:val="Hyperlink"/>
        </w:rPr>
        <w:fldChar w:fldCharType="begin"/>
      </w:r>
      <w:r w:rsidR="008331DD">
        <w:rPr>
          <w:rStyle w:val="Hyperlink"/>
        </w:rPr>
        <w:instrText xml:space="preserve"> HYPERLINK "https://gac.icann.org/contentMigrated/icann61-gac-communique" </w:instrText>
      </w:r>
      <w:r w:rsidR="0010091D">
        <w:rPr>
          <w:rStyle w:val="Hyperlink"/>
        </w:rPr>
      </w:r>
      <w:r w:rsidR="008331DD">
        <w:rPr>
          <w:rStyle w:val="Hyperlink"/>
        </w:rPr>
        <w:fldChar w:fldCharType="separate"/>
      </w:r>
      <w:r>
        <w:rPr>
          <w:rStyle w:val="Hyperlink"/>
          <w:rFonts w:hint="eastAsia"/>
        </w:rPr>
        <w:t>《圣胡安公报</w:t>
      </w:r>
      <w:r>
        <w:rPr>
          <w:rStyle w:val="Hyperlink"/>
          <w:rFonts w:hint="eastAsia"/>
        </w:rPr>
        <w:t xml:space="preserve"> (San Juan </w:t>
      </w:r>
      <w:proofErr w:type="spellStart"/>
      <w:r>
        <w:rPr>
          <w:rStyle w:val="Hyperlink"/>
          <w:rFonts w:hint="eastAsia"/>
        </w:rPr>
        <w:t>Communiqu</w:t>
      </w:r>
      <w:proofErr w:type="spellEnd"/>
      <w:r>
        <w:rPr>
          <w:rStyle w:val="Hyperlink"/>
          <w:rFonts w:hint="eastAsia"/>
        </w:rPr>
        <w:t>é</w:t>
      </w:r>
      <w:r>
        <w:rPr>
          <w:rStyle w:val="Hyperlink"/>
          <w:rFonts w:hint="eastAsia"/>
        </w:rPr>
        <w:t>)</w:t>
      </w:r>
      <w:r>
        <w:rPr>
          <w:rStyle w:val="Hyperlink"/>
          <w:rFonts w:hint="eastAsia"/>
        </w:rPr>
        <w:t>》</w:t>
      </w:r>
      <w:r w:rsidR="008331DD">
        <w:rPr>
          <w:rStyle w:val="Hyperlink"/>
        </w:rPr>
        <w:fldChar w:fldCharType="end"/>
      </w:r>
      <w:r>
        <w:rPr>
          <w:rFonts w:hint="eastAsia"/>
        </w:rPr>
        <w:t>中的未决</w:t>
      </w:r>
      <w:r>
        <w:rPr>
          <w:rFonts w:hint="eastAsia"/>
        </w:rPr>
        <w:t xml:space="preserve"> GAC </w:t>
      </w:r>
      <w:r>
        <w:rPr>
          <w:rFonts w:hint="eastAsia"/>
        </w:rPr>
        <w:t>建议。（注：董事会虽</w:t>
      </w:r>
      <w:r w:rsidR="008331DD">
        <w:rPr>
          <w:rStyle w:val="Hyperlink"/>
        </w:rPr>
        <w:fldChar w:fldCharType="begin"/>
      </w:r>
      <w:r w:rsidR="008331DD">
        <w:rPr>
          <w:rStyle w:val="Hyperlink"/>
        </w:rPr>
        <w:instrText xml:space="preserve"> HYPERLINK "https://www.icann.org/resources/board-material/resolutions-2018-05-17-en" </w:instrText>
      </w:r>
      <w:r w:rsidR="0010091D">
        <w:rPr>
          <w:rStyle w:val="Hyperlink"/>
        </w:rPr>
      </w:r>
      <w:r w:rsidR="008331DD">
        <w:rPr>
          <w:rStyle w:val="Hyperlink"/>
        </w:rPr>
        <w:fldChar w:fldCharType="separate"/>
      </w:r>
      <w:r>
        <w:rPr>
          <w:rStyle w:val="Hyperlink"/>
          <w:rFonts w:hint="eastAsia"/>
        </w:rPr>
        <w:t>推迟</w:t>
      </w:r>
      <w:r w:rsidR="008331DD">
        <w:rPr>
          <w:rStyle w:val="Hyperlink"/>
        </w:rPr>
        <w:fldChar w:fldCharType="end"/>
      </w:r>
      <w:r w:rsidR="009A63F4">
        <w:rPr>
          <w:rStyle w:val="FootnoteReference"/>
        </w:rPr>
        <w:footnoteReference w:id="1"/>
      </w:r>
      <w:r>
        <w:rPr>
          <w:rFonts w:hint="eastAsia"/>
        </w:rPr>
        <w:t>了对此的回复时间，但是在</w:t>
      </w:r>
      <w:r>
        <w:rPr>
          <w:rFonts w:hint="eastAsia"/>
          <w:i/>
        </w:rPr>
        <w:t>临时规范附录：影响后续社群行动的重要问题</w:t>
      </w:r>
      <w:r>
        <w:rPr>
          <w:rFonts w:hint="eastAsia"/>
        </w:rPr>
        <w:t>中却体现了这些建议的实质内容）：</w:t>
      </w:r>
    </w:p>
    <w:p w14:paraId="4E78987A" w14:textId="2E3E6572" w:rsidR="0080662D" w:rsidRDefault="0080662D" w:rsidP="0080662D">
      <w:pPr>
        <w:pStyle w:val="BodyText"/>
        <w:numPr>
          <w:ilvl w:val="0"/>
          <w:numId w:val="27"/>
        </w:numPr>
      </w:pPr>
      <w:r>
        <w:rPr>
          <w:rFonts w:hint="eastAsia"/>
        </w:rPr>
        <w:t>区分法人和自然人，允许公众访问不属于</w:t>
      </w:r>
      <w:r>
        <w:rPr>
          <w:rFonts w:hint="eastAsia"/>
        </w:rPr>
        <w:t xml:space="preserve"> GDPR </w:t>
      </w:r>
      <w:r>
        <w:rPr>
          <w:rFonts w:hint="eastAsia"/>
        </w:rPr>
        <w:t>规定范围的法律实体的</w:t>
      </w:r>
      <w:r>
        <w:rPr>
          <w:rFonts w:hint="eastAsia"/>
        </w:rPr>
        <w:t xml:space="preserve"> WHOIS </w:t>
      </w:r>
      <w:r>
        <w:rPr>
          <w:rFonts w:hint="eastAsia"/>
        </w:rPr>
        <w:t>数据。</w:t>
      </w:r>
    </w:p>
    <w:p w14:paraId="037E4E66" w14:textId="5D99A8EB" w:rsidR="0080662D" w:rsidRDefault="00A25553" w:rsidP="0080662D">
      <w:pPr>
        <w:pStyle w:val="BodyText"/>
        <w:numPr>
          <w:ilvl w:val="0"/>
          <w:numId w:val="27"/>
        </w:numPr>
      </w:pPr>
      <w:r>
        <w:rPr>
          <w:rFonts w:hint="eastAsia"/>
        </w:rPr>
        <w:t>在强制所有签约方遵守的前提下，确保具有合法目的的用户能够持续访问</w:t>
      </w:r>
      <w:r>
        <w:rPr>
          <w:rFonts w:hint="eastAsia"/>
        </w:rPr>
        <w:t xml:space="preserve"> WHOIS </w:t>
      </w:r>
      <w:r>
        <w:rPr>
          <w:rFonts w:hint="eastAsia"/>
        </w:rPr>
        <w:t>数据（包括非公开数据），直至临时</w:t>
      </w:r>
      <w:r>
        <w:rPr>
          <w:rFonts w:hint="eastAsia"/>
        </w:rPr>
        <w:t xml:space="preserve"> WHOIS </w:t>
      </w:r>
      <w:r>
        <w:rPr>
          <w:rFonts w:hint="eastAsia"/>
        </w:rPr>
        <w:t>模型全面投入运营。</w:t>
      </w:r>
    </w:p>
    <w:p w14:paraId="1F925CDF" w14:textId="64254263" w:rsidR="0080662D" w:rsidRDefault="00A25553" w:rsidP="0080662D">
      <w:pPr>
        <w:pStyle w:val="BodyText"/>
        <w:numPr>
          <w:ilvl w:val="0"/>
          <w:numId w:val="27"/>
        </w:numPr>
      </w:pPr>
      <w:r>
        <w:rPr>
          <w:rFonts w:hint="eastAsia"/>
        </w:rPr>
        <w:t>确保根据认证计划设想的查询量限制符合现实调查交叉引用的需求。</w:t>
      </w:r>
    </w:p>
    <w:p w14:paraId="104138D1" w14:textId="214ECE06" w:rsidR="0012744C" w:rsidRDefault="00A25553" w:rsidP="0080662D">
      <w:pPr>
        <w:pStyle w:val="BodyText"/>
        <w:numPr>
          <w:ilvl w:val="0"/>
          <w:numId w:val="27"/>
        </w:numPr>
      </w:pPr>
      <w:r>
        <w:rPr>
          <w:rFonts w:hint="eastAsia"/>
        </w:rPr>
        <w:t>确保执法机构的</w:t>
      </w:r>
      <w:r>
        <w:rPr>
          <w:rFonts w:hint="eastAsia"/>
        </w:rPr>
        <w:t xml:space="preserve"> WHOIS </w:t>
      </w:r>
      <w:r>
        <w:rPr>
          <w:rFonts w:hint="eastAsia"/>
        </w:rPr>
        <w:t>查询的保密性。</w:t>
      </w:r>
    </w:p>
    <w:p w14:paraId="1A45348A" w14:textId="27A5BF70" w:rsidR="0012744C" w:rsidRDefault="00A25553" w:rsidP="00921B8C">
      <w:pPr>
        <w:pStyle w:val="BodyText"/>
        <w:numPr>
          <w:ilvl w:val="0"/>
          <w:numId w:val="24"/>
        </w:numPr>
      </w:pPr>
      <w:r>
        <w:rPr>
          <w:rFonts w:hint="eastAsia"/>
        </w:rPr>
        <w:t xml:space="preserve">GAC </w:t>
      </w:r>
      <w:r>
        <w:rPr>
          <w:rFonts w:hint="eastAsia"/>
        </w:rPr>
        <w:t>和</w:t>
      </w:r>
      <w:r>
        <w:rPr>
          <w:rFonts w:hint="eastAsia"/>
        </w:rPr>
        <w:t xml:space="preserve"> PSWG </w:t>
      </w:r>
      <w:r>
        <w:rPr>
          <w:rFonts w:hint="eastAsia"/>
        </w:rPr>
        <w:t>成员参与</w:t>
      </w:r>
      <w:r>
        <w:rPr>
          <w:rFonts w:hint="eastAsia"/>
        </w:rPr>
        <w:t xml:space="preserve"> ICANN </w:t>
      </w:r>
      <w:r>
        <w:rPr>
          <w:rFonts w:hint="eastAsia"/>
        </w:rPr>
        <w:t>第</w:t>
      </w:r>
      <w:r>
        <w:rPr>
          <w:rFonts w:hint="eastAsia"/>
        </w:rPr>
        <w:t xml:space="preserve"> 62 </w:t>
      </w:r>
      <w:r>
        <w:rPr>
          <w:rFonts w:hint="eastAsia"/>
        </w:rPr>
        <w:t>届会议期间的相关会议，包括关于</w:t>
      </w:r>
      <w:r>
        <w:rPr>
          <w:rFonts w:hint="eastAsia"/>
        </w:rPr>
        <w:t xml:space="preserve"> GDPR </w:t>
      </w:r>
      <w:r>
        <w:rPr>
          <w:rFonts w:hint="eastAsia"/>
        </w:rPr>
        <w:t>合规、</w:t>
      </w:r>
      <w:r>
        <w:rPr>
          <w:rFonts w:hint="eastAsia"/>
        </w:rPr>
        <w:t xml:space="preserve">WHOIS </w:t>
      </w:r>
      <w:r>
        <w:rPr>
          <w:rFonts w:hint="eastAsia"/>
        </w:rPr>
        <w:t>访问权限和认证的跨社群会议，以及</w:t>
      </w:r>
      <w:r>
        <w:rPr>
          <w:rFonts w:hint="eastAsia"/>
        </w:rPr>
        <w:t xml:space="preserve"> GAC/ICANN </w:t>
      </w:r>
      <w:r>
        <w:rPr>
          <w:rFonts w:hint="eastAsia"/>
        </w:rPr>
        <w:t>董事会会议，以争取并获得社群对上述目标的支持。</w:t>
      </w:r>
    </w:p>
    <w:p w14:paraId="03F9C84A" w14:textId="42D26F47" w:rsidR="00583EE4" w:rsidRDefault="00A25553" w:rsidP="00A25553">
      <w:pPr>
        <w:pStyle w:val="Heading2"/>
      </w:pPr>
      <w:r>
        <w:rPr>
          <w:rFonts w:hint="eastAsia"/>
        </w:rPr>
        <w:t>目前状况</w:t>
      </w:r>
    </w:p>
    <w:p w14:paraId="1912C4E0" w14:textId="79B462FE" w:rsidR="00AE6E3D" w:rsidRDefault="00AE6E3D" w:rsidP="00D35147">
      <w:pPr>
        <w:pStyle w:val="BodyText"/>
      </w:pPr>
      <w:r>
        <w:rPr>
          <w:rFonts w:hint="eastAsia"/>
        </w:rPr>
        <w:t>本文是对诸多复杂问题进行的总结。</w:t>
      </w:r>
      <w:r w:rsidR="008331DD">
        <w:rPr>
          <w:rStyle w:val="Hyperlink"/>
        </w:rPr>
        <w:fldChar w:fldCharType="begin"/>
      </w:r>
      <w:r w:rsidR="008331DD">
        <w:rPr>
          <w:rStyle w:val="Hyperlink"/>
        </w:rPr>
        <w:instrText xml:space="preserve"> HYPERLINK "https://gac.icann.org/activity/whois-compliance-with-gdpr-reference" </w:instrText>
      </w:r>
      <w:r w:rsidR="0010091D">
        <w:rPr>
          <w:rStyle w:val="Hyperlink"/>
        </w:rPr>
      </w:r>
      <w:r w:rsidR="008331DD">
        <w:rPr>
          <w:rStyle w:val="Hyperlink"/>
        </w:rPr>
        <w:fldChar w:fldCharType="separate"/>
      </w:r>
      <w:r>
        <w:rPr>
          <w:rStyle w:val="Hyperlink"/>
          <w:rFonts w:hint="eastAsia"/>
        </w:rPr>
        <w:t xml:space="preserve">GAC </w:t>
      </w:r>
      <w:r>
        <w:rPr>
          <w:rStyle w:val="Hyperlink"/>
          <w:rFonts w:hint="eastAsia"/>
        </w:rPr>
        <w:t>网站</w:t>
      </w:r>
      <w:r w:rsidR="008331DD">
        <w:rPr>
          <w:rStyle w:val="Hyperlink"/>
        </w:rPr>
        <w:fldChar w:fldCharType="end"/>
      </w:r>
      <w:r>
        <w:rPr>
          <w:rFonts w:hint="eastAsia"/>
        </w:rPr>
        <w:t>以及如下提供的链接提供了更多详细信息。</w:t>
      </w:r>
    </w:p>
    <w:p w14:paraId="1E03D1C2" w14:textId="1846B0B3" w:rsidR="00D35147" w:rsidRDefault="00AE6E3D" w:rsidP="00D35147">
      <w:pPr>
        <w:pStyle w:val="BodyText"/>
      </w:pPr>
      <w:r>
        <w:rPr>
          <w:rFonts w:hint="eastAsia"/>
        </w:rPr>
        <w:t>欧洲《通用数据保护条例》</w:t>
      </w:r>
      <w:r>
        <w:rPr>
          <w:rFonts w:hint="eastAsia"/>
        </w:rPr>
        <w:t xml:space="preserve">(GDPR) </w:t>
      </w:r>
      <w:r>
        <w:rPr>
          <w:rFonts w:hint="eastAsia"/>
        </w:rPr>
        <w:t>于</w:t>
      </w:r>
      <w:r>
        <w:rPr>
          <w:rFonts w:hint="eastAsia"/>
        </w:rPr>
        <w:t xml:space="preserve"> 2018 </w:t>
      </w:r>
      <w:r>
        <w:rPr>
          <w:rFonts w:hint="eastAsia"/>
        </w:rPr>
        <w:t>年</w:t>
      </w:r>
      <w:r>
        <w:rPr>
          <w:rFonts w:hint="eastAsia"/>
        </w:rPr>
        <w:t xml:space="preserve"> 5 </w:t>
      </w:r>
      <w:r>
        <w:rPr>
          <w:rFonts w:hint="eastAsia"/>
        </w:rPr>
        <w:t>月</w:t>
      </w:r>
      <w:r>
        <w:rPr>
          <w:rFonts w:hint="eastAsia"/>
        </w:rPr>
        <w:t xml:space="preserve"> 25</w:t>
      </w:r>
      <w:r>
        <w:rPr>
          <w:rFonts w:hint="eastAsia"/>
        </w:rPr>
        <w:t>日生效。</w:t>
      </w:r>
      <w:r>
        <w:rPr>
          <w:rFonts w:hint="eastAsia"/>
        </w:rPr>
        <w:t xml:space="preserve">ICANN </w:t>
      </w:r>
      <w:r>
        <w:rPr>
          <w:rFonts w:hint="eastAsia"/>
        </w:rPr>
        <w:t>董事会采纳了</w:t>
      </w:r>
      <w:r>
        <w:rPr>
          <w:rFonts w:hint="eastAsia"/>
        </w:rPr>
        <w:t xml:space="preserve"> gTLD </w:t>
      </w:r>
      <w:r>
        <w:rPr>
          <w:rFonts w:hint="eastAsia"/>
        </w:rPr>
        <w:t>（通用顶级域）注册数据</w:t>
      </w:r>
      <w:r w:rsidR="008331DD">
        <w:rPr>
          <w:rStyle w:val="Hyperlink"/>
        </w:rPr>
        <w:fldChar w:fldCharType="begin"/>
      </w:r>
      <w:r w:rsidR="008331DD">
        <w:rPr>
          <w:rStyle w:val="Hyperlink"/>
        </w:rPr>
        <w:instrText xml:space="preserve"> HYPERLINK "https://www.icann.org/resources/pages/gtld-registration-data-specs-en/" \l "annex" </w:instrText>
      </w:r>
      <w:r w:rsidR="0010091D">
        <w:rPr>
          <w:rStyle w:val="Hyperlink"/>
        </w:rPr>
      </w:r>
      <w:r w:rsidR="008331DD">
        <w:rPr>
          <w:rStyle w:val="Hyperlink"/>
        </w:rPr>
        <w:fldChar w:fldCharType="separate"/>
      </w:r>
      <w:r>
        <w:rPr>
          <w:rStyle w:val="Hyperlink"/>
          <w:rFonts w:hint="eastAsia"/>
        </w:rPr>
        <w:t>临时规范</w:t>
      </w:r>
      <w:r w:rsidR="008331DD">
        <w:rPr>
          <w:rStyle w:val="Hyperlink"/>
        </w:rPr>
        <w:fldChar w:fldCharType="end"/>
      </w:r>
      <w:r>
        <w:rPr>
          <w:rFonts w:hint="eastAsia"/>
        </w:rPr>
        <w:t>（实施</w:t>
      </w:r>
      <w:r>
        <w:rPr>
          <w:rFonts w:hint="eastAsia"/>
        </w:rPr>
        <w:t xml:space="preserve"> GDPR </w:t>
      </w:r>
      <w:r>
        <w:rPr>
          <w:rFonts w:hint="eastAsia"/>
        </w:rPr>
        <w:t>临时合规模型）。这样能确保</w:t>
      </w:r>
      <w:r>
        <w:rPr>
          <w:rFonts w:hint="eastAsia"/>
        </w:rPr>
        <w:t xml:space="preserve"> ICANN </w:t>
      </w:r>
      <w:r>
        <w:rPr>
          <w:rFonts w:hint="eastAsia"/>
        </w:rPr>
        <w:t>以及</w:t>
      </w:r>
      <w:r>
        <w:rPr>
          <w:rFonts w:hint="eastAsia"/>
        </w:rPr>
        <w:t xml:space="preserve"> gTLD </w:t>
      </w:r>
      <w:r>
        <w:rPr>
          <w:rFonts w:hint="eastAsia"/>
        </w:rPr>
        <w:t>注册管理机构和注册服务机构在</w:t>
      </w:r>
      <w:r>
        <w:rPr>
          <w:rFonts w:hint="eastAsia"/>
        </w:rPr>
        <w:t xml:space="preserve"> GDPR </w:t>
      </w:r>
      <w:r>
        <w:rPr>
          <w:rFonts w:hint="eastAsia"/>
        </w:rPr>
        <w:t>的背景下，遵守现行</w:t>
      </w:r>
      <w:r>
        <w:rPr>
          <w:rFonts w:hint="eastAsia"/>
        </w:rPr>
        <w:t xml:space="preserve"> ICANN </w:t>
      </w:r>
      <w:r>
        <w:rPr>
          <w:rFonts w:hint="eastAsia"/>
        </w:rPr>
        <w:t>合同要求以及政策，特别是与收集和提供</w:t>
      </w:r>
      <w:r>
        <w:rPr>
          <w:rFonts w:hint="eastAsia"/>
        </w:rPr>
        <w:t xml:space="preserve"> gTLD </w:t>
      </w:r>
      <w:r>
        <w:rPr>
          <w:rFonts w:hint="eastAsia"/>
        </w:rPr>
        <w:t>注册人相关数据的要求和政策。</w:t>
      </w:r>
    </w:p>
    <w:p w14:paraId="15CC8D27" w14:textId="7B630081" w:rsidR="00AE6E3D" w:rsidRDefault="00AE6E3D" w:rsidP="00D35147">
      <w:pPr>
        <w:pStyle w:val="BodyText"/>
      </w:pPr>
      <w:r>
        <w:rPr>
          <w:rFonts w:hint="eastAsia"/>
        </w:rPr>
        <w:lastRenderedPageBreak/>
        <w:t>《临时规范》为持续收集注册数据（仍然广泛称为</w:t>
      </w:r>
      <w:r>
        <w:rPr>
          <w:rFonts w:hint="eastAsia"/>
        </w:rPr>
        <w:t xml:space="preserve"> WHOIS</w:t>
      </w:r>
      <w:r>
        <w:rPr>
          <w:rFonts w:hint="eastAsia"/>
        </w:rPr>
        <w:t>）提供了依据，但是对个人数据的访问权限进行了限制，只有拥有合法目的获取个人数据的用户才能访问该类数据。此受限访问被称为</w:t>
      </w:r>
      <w:proofErr w:type="gramStart"/>
      <w:r>
        <w:rPr>
          <w:rFonts w:hint="eastAsia"/>
        </w:rPr>
        <w:t>分级或</w:t>
      </w:r>
      <w:proofErr w:type="gramEnd"/>
      <w:r>
        <w:rPr>
          <w:rFonts w:hint="eastAsia"/>
        </w:rPr>
        <w:t>分层系统，将根据缔约方签订的新协议实施。上述新系统可能包含认证拥有合法目的的用户并授予证书的系统。</w:t>
      </w:r>
    </w:p>
    <w:p w14:paraId="7649D577" w14:textId="5C5C7772" w:rsidR="00AE6E3D" w:rsidRDefault="00AE6E3D" w:rsidP="00D35147">
      <w:pPr>
        <w:pStyle w:val="BodyText"/>
      </w:pPr>
      <w:r>
        <w:rPr>
          <w:rFonts w:hint="eastAsia"/>
        </w:rPr>
        <w:t>在公共安全工作组的支持下，</w:t>
      </w:r>
      <w:r>
        <w:rPr>
          <w:rFonts w:hint="eastAsia"/>
        </w:rPr>
        <w:t xml:space="preserve">GAC </w:t>
      </w:r>
      <w:r>
        <w:rPr>
          <w:rFonts w:hint="eastAsia"/>
        </w:rPr>
        <w:t>在公共政策背景下，对执法机构、消费者和其他方因合法目的持续访问</w:t>
      </w:r>
      <w:r>
        <w:rPr>
          <w:rFonts w:hint="eastAsia"/>
        </w:rPr>
        <w:t xml:space="preserve"> WHOIS </w:t>
      </w:r>
      <w:r>
        <w:rPr>
          <w:rFonts w:hint="eastAsia"/>
        </w:rPr>
        <w:t>数据进行了论证。这包括向</w:t>
      </w:r>
      <w:r>
        <w:rPr>
          <w:rFonts w:hint="eastAsia"/>
        </w:rPr>
        <w:t xml:space="preserve"> ICANN </w:t>
      </w:r>
      <w:r>
        <w:rPr>
          <w:rFonts w:hint="eastAsia"/>
        </w:rPr>
        <w:t>董事会提供建议，以及参与多个社群流程（包括公众意见）。</w:t>
      </w:r>
      <w:r>
        <w:rPr>
          <w:rFonts w:hint="eastAsia"/>
        </w:rPr>
        <w:t xml:space="preserve">  </w:t>
      </w:r>
    </w:p>
    <w:p w14:paraId="625F46A6" w14:textId="29A97B8E" w:rsidR="00192306" w:rsidRDefault="00192306" w:rsidP="00D35147">
      <w:pPr>
        <w:pStyle w:val="BodyText"/>
      </w:pPr>
      <w:r>
        <w:rPr>
          <w:rFonts w:hint="eastAsia"/>
        </w:rPr>
        <w:t>《临时规范》自</w:t>
      </w:r>
      <w:r>
        <w:rPr>
          <w:rFonts w:hint="eastAsia"/>
        </w:rPr>
        <w:t xml:space="preserve"> 2018 </w:t>
      </w:r>
      <w:r>
        <w:rPr>
          <w:rFonts w:hint="eastAsia"/>
        </w:rPr>
        <w:t>年</w:t>
      </w:r>
      <w:r>
        <w:rPr>
          <w:rFonts w:hint="eastAsia"/>
        </w:rPr>
        <w:t xml:space="preserve"> 5 </w:t>
      </w:r>
      <w:r>
        <w:rPr>
          <w:rFonts w:hint="eastAsia"/>
        </w:rPr>
        <w:t>月</w:t>
      </w:r>
      <w:r>
        <w:rPr>
          <w:rFonts w:hint="eastAsia"/>
        </w:rPr>
        <w:t xml:space="preserve"> 25 </w:t>
      </w:r>
      <w:r>
        <w:rPr>
          <w:rFonts w:hint="eastAsia"/>
        </w:rPr>
        <w:t>日起生效，最长适用期限为</w:t>
      </w:r>
      <w:r>
        <w:rPr>
          <w:rFonts w:hint="eastAsia"/>
        </w:rPr>
        <w:t xml:space="preserve"> 12 </w:t>
      </w:r>
      <w:proofErr w:type="gramStart"/>
      <w:r>
        <w:rPr>
          <w:rFonts w:hint="eastAsia"/>
        </w:rPr>
        <w:t>个</w:t>
      </w:r>
      <w:proofErr w:type="gramEnd"/>
      <w:r>
        <w:rPr>
          <w:rFonts w:hint="eastAsia"/>
        </w:rPr>
        <w:t>月。在此期限内：</w:t>
      </w:r>
    </w:p>
    <w:p w14:paraId="65F5D0CC" w14:textId="2AE6B3C7" w:rsidR="00192306" w:rsidRDefault="00192306" w:rsidP="00192306">
      <w:pPr>
        <w:pStyle w:val="BodyText"/>
        <w:numPr>
          <w:ilvl w:val="0"/>
          <w:numId w:val="28"/>
        </w:numPr>
      </w:pPr>
      <w:r>
        <w:rPr>
          <w:rFonts w:hint="eastAsia"/>
        </w:rPr>
        <w:t>董事会将每隔</w:t>
      </w:r>
      <w:r>
        <w:rPr>
          <w:rFonts w:hint="eastAsia"/>
        </w:rPr>
        <w:t xml:space="preserve"> 90 </w:t>
      </w:r>
      <w:r>
        <w:rPr>
          <w:rFonts w:hint="eastAsia"/>
        </w:rPr>
        <w:t>天更新该规范，根据</w:t>
      </w:r>
      <w:r>
        <w:rPr>
          <w:rFonts w:hint="eastAsia"/>
        </w:rPr>
        <w:t xml:space="preserve"> GAC </w:t>
      </w:r>
      <w:r>
        <w:rPr>
          <w:rFonts w:hint="eastAsia"/>
        </w:rPr>
        <w:t>提出的建议和其他信息可能</w:t>
      </w:r>
      <w:proofErr w:type="gramStart"/>
      <w:r>
        <w:rPr>
          <w:rFonts w:hint="eastAsia"/>
        </w:rPr>
        <w:t>作出</w:t>
      </w:r>
      <w:proofErr w:type="gramEnd"/>
      <w:r>
        <w:rPr>
          <w:rFonts w:hint="eastAsia"/>
        </w:rPr>
        <w:t>调整。</w:t>
      </w:r>
    </w:p>
    <w:p w14:paraId="6F8BA45F" w14:textId="4B653501" w:rsidR="00192306" w:rsidRPr="00D35147" w:rsidRDefault="00192306" w:rsidP="00192306">
      <w:pPr>
        <w:pStyle w:val="BodyText"/>
        <w:numPr>
          <w:ilvl w:val="0"/>
          <w:numId w:val="28"/>
        </w:numPr>
      </w:pPr>
      <w:r>
        <w:rPr>
          <w:rFonts w:hint="eastAsia"/>
        </w:rPr>
        <w:t xml:space="preserve">GNSO </w:t>
      </w:r>
      <w:hyperlink r:id="rId8" w:history="1">
        <w:r>
          <w:rPr>
            <w:rStyle w:val="Hyperlink"/>
            <w:rFonts w:hint="eastAsia"/>
          </w:rPr>
          <w:t>快速政策制定流程</w:t>
        </w:r>
      </w:hyperlink>
      <w:r w:rsidR="00F06ACB" w:rsidRPr="00F06ACB">
        <w:t xml:space="preserve"> </w:t>
      </w:r>
      <w:r>
        <w:rPr>
          <w:rFonts w:hint="eastAsia"/>
        </w:rPr>
        <w:t xml:space="preserve">(EPDP) </w:t>
      </w:r>
      <w:r>
        <w:rPr>
          <w:rFonts w:hint="eastAsia"/>
        </w:rPr>
        <w:t>是</w:t>
      </w:r>
      <w:r>
        <w:rPr>
          <w:rFonts w:hint="eastAsia"/>
        </w:rPr>
        <w:t xml:space="preserve"> GNSO </w:t>
      </w:r>
      <w:r>
        <w:rPr>
          <w:rFonts w:hint="eastAsia"/>
        </w:rPr>
        <w:t>理事会正予以考虑的方案，以便为适用于该规范涉及议题的政策提供建议。</w:t>
      </w:r>
      <w:r>
        <w:rPr>
          <w:rFonts w:hint="eastAsia"/>
        </w:rPr>
        <w:t xml:space="preserve">GNSO </w:t>
      </w:r>
      <w:r>
        <w:rPr>
          <w:rFonts w:hint="eastAsia"/>
        </w:rPr>
        <w:t>理事会尚未确定其细节（包括其他支持组织和咨询委员会可能参与的方式）。</w:t>
      </w:r>
    </w:p>
    <w:p w14:paraId="032E5BE9" w14:textId="3465E936" w:rsidR="00AB2562" w:rsidRDefault="00241C6F" w:rsidP="00AB2562">
      <w:pPr>
        <w:pStyle w:val="BodyText"/>
      </w:pPr>
      <w:r>
        <w:rPr>
          <w:rFonts w:hint="eastAsia"/>
        </w:rPr>
        <w:t>该规范增加了《圣胡安公报</w:t>
      </w:r>
      <w:r>
        <w:rPr>
          <w:rFonts w:hint="eastAsia"/>
        </w:rPr>
        <w:t xml:space="preserve"> (San Juan </w:t>
      </w:r>
      <w:proofErr w:type="spellStart"/>
      <w:r>
        <w:rPr>
          <w:rFonts w:hint="eastAsia"/>
        </w:rPr>
        <w:t>Communiqu</w:t>
      </w:r>
      <w:proofErr w:type="spellEnd"/>
      <w:r w:rsidRPr="00F06ACB">
        <w:t>é</w:t>
      </w:r>
      <w:r>
        <w:rPr>
          <w:rFonts w:hint="eastAsia"/>
        </w:rPr>
        <w:t>)</w:t>
      </w:r>
      <w:r>
        <w:rPr>
          <w:rFonts w:hint="eastAsia"/>
        </w:rPr>
        <w:t>》中</w:t>
      </w:r>
      <w:r>
        <w:rPr>
          <w:rFonts w:hint="eastAsia"/>
        </w:rPr>
        <w:t xml:space="preserve"> GAC </w:t>
      </w:r>
      <w:r>
        <w:rPr>
          <w:rFonts w:hint="eastAsia"/>
        </w:rPr>
        <w:t>提出的部分建议，推迟了对四个要素的回复，留待在董事会</w:t>
      </w:r>
      <w:r>
        <w:rPr>
          <w:rFonts w:hint="eastAsia"/>
        </w:rPr>
        <w:t xml:space="preserve">-GAC </w:t>
      </w:r>
      <w:r>
        <w:rPr>
          <w:rFonts w:hint="eastAsia"/>
        </w:rPr>
        <w:t>讨论会（见上文）上进行进一步讨论。该规范还包含一些尚未最终确定的问题，尽管尚不清楚这些问题是会在接下来</w:t>
      </w:r>
      <w:r>
        <w:rPr>
          <w:rFonts w:hint="eastAsia"/>
        </w:rPr>
        <w:t xml:space="preserve"> 12 </w:t>
      </w:r>
      <w:proofErr w:type="gramStart"/>
      <w:r>
        <w:rPr>
          <w:rFonts w:hint="eastAsia"/>
        </w:rPr>
        <w:t>个</w:t>
      </w:r>
      <w:proofErr w:type="gramEnd"/>
      <w:r>
        <w:rPr>
          <w:rFonts w:hint="eastAsia"/>
        </w:rPr>
        <w:t>月期间内新增入该规范，还是经</w:t>
      </w:r>
      <w:r>
        <w:rPr>
          <w:rFonts w:hint="eastAsia"/>
        </w:rPr>
        <w:t xml:space="preserve"> EPDP </w:t>
      </w:r>
      <w:r>
        <w:rPr>
          <w:rFonts w:hint="eastAsia"/>
        </w:rPr>
        <w:t>成为某项决议。这些问题包括：</w:t>
      </w:r>
      <w:r>
        <w:rPr>
          <w:rFonts w:hint="eastAsia"/>
        </w:rPr>
        <w:t xml:space="preserve"> </w:t>
      </w:r>
    </w:p>
    <w:p w14:paraId="5AF44832" w14:textId="77777777" w:rsidR="00AB2562" w:rsidRPr="00AB2562" w:rsidRDefault="00AB2562" w:rsidP="0010091D">
      <w:pPr>
        <w:numPr>
          <w:ilvl w:val="0"/>
          <w:numId w:val="23"/>
        </w:numPr>
        <w:shd w:val="clear" w:color="auto" w:fill="FFFFFF"/>
        <w:spacing w:after="225"/>
        <w:ind w:left="1020"/>
        <w:jc w:val="both"/>
        <w:rPr>
          <w:rFonts w:ascii="Century Gothic" w:hAnsi="Century Gothic"/>
          <w:color w:val="333333"/>
          <w:sz w:val="20"/>
          <w:szCs w:val="20"/>
        </w:rPr>
      </w:pPr>
      <w:r>
        <w:rPr>
          <w:rFonts w:ascii="Century Gothic" w:hAnsi="Century Gothic" w:hint="eastAsia"/>
          <w:color w:val="333333"/>
          <w:sz w:val="20"/>
          <w:szCs w:val="20"/>
        </w:rPr>
        <w:t>根据第</w:t>
      </w:r>
      <w:r>
        <w:rPr>
          <w:rFonts w:ascii="Century Gothic" w:hAnsi="Century Gothic" w:hint="eastAsia"/>
          <w:color w:val="333333"/>
          <w:sz w:val="20"/>
          <w:szCs w:val="20"/>
        </w:rPr>
        <w:t xml:space="preserve"> 4.4 </w:t>
      </w:r>
      <w:r>
        <w:rPr>
          <w:rFonts w:ascii="Century Gothic" w:hAnsi="Century Gothic" w:hint="eastAsia"/>
          <w:color w:val="333333"/>
          <w:sz w:val="20"/>
          <w:szCs w:val="20"/>
        </w:rPr>
        <w:t>节的规定，继续开展社群工作，开发遵守</w:t>
      </w:r>
      <w:r>
        <w:rPr>
          <w:rFonts w:ascii="Century Gothic" w:hAnsi="Century Gothic" w:hint="eastAsia"/>
          <w:color w:val="333333"/>
          <w:sz w:val="20"/>
          <w:szCs w:val="20"/>
        </w:rPr>
        <w:t xml:space="preserve"> GDPR </w:t>
      </w:r>
      <w:r>
        <w:rPr>
          <w:rFonts w:ascii="Century Gothic" w:hAnsi="Century Gothic" w:hint="eastAsia"/>
          <w:color w:val="333333"/>
          <w:sz w:val="20"/>
          <w:szCs w:val="20"/>
        </w:rPr>
        <w:t>的认证和访问模型，同时认识到需要从第</w:t>
      </w:r>
      <w:r>
        <w:rPr>
          <w:rFonts w:ascii="Century Gothic" w:hAnsi="Century Gothic" w:hint="eastAsia"/>
          <w:color w:val="333333"/>
          <w:sz w:val="20"/>
          <w:szCs w:val="20"/>
        </w:rPr>
        <w:t xml:space="preserve"> 29 </w:t>
      </w:r>
      <w:r>
        <w:rPr>
          <w:rFonts w:ascii="Century Gothic" w:hAnsi="Century Gothic" w:hint="eastAsia"/>
          <w:color w:val="333333"/>
          <w:sz w:val="20"/>
          <w:szCs w:val="20"/>
        </w:rPr>
        <w:t>章工作组</w:t>
      </w:r>
      <w:r>
        <w:rPr>
          <w:rFonts w:ascii="Century Gothic" w:hAnsi="Century Gothic" w:hint="eastAsia"/>
          <w:color w:val="333333"/>
          <w:sz w:val="20"/>
          <w:szCs w:val="20"/>
        </w:rPr>
        <w:t>/</w:t>
      </w:r>
      <w:r>
        <w:rPr>
          <w:rFonts w:ascii="Century Gothic" w:hAnsi="Century Gothic" w:hint="eastAsia"/>
          <w:color w:val="333333"/>
          <w:sz w:val="20"/>
          <w:szCs w:val="20"/>
        </w:rPr>
        <w:t>欧洲数据保护理事会获得更多指导。</w:t>
      </w:r>
    </w:p>
    <w:p w14:paraId="68827E34" w14:textId="77777777" w:rsidR="00AB2562" w:rsidRPr="00AB2562" w:rsidRDefault="00AB2562" w:rsidP="0010091D">
      <w:pPr>
        <w:numPr>
          <w:ilvl w:val="0"/>
          <w:numId w:val="23"/>
        </w:numPr>
        <w:shd w:val="clear" w:color="auto" w:fill="FFFFFF"/>
        <w:spacing w:after="225"/>
        <w:ind w:left="1020"/>
        <w:jc w:val="both"/>
        <w:rPr>
          <w:rFonts w:ascii="Century Gothic" w:hAnsi="Century Gothic"/>
          <w:color w:val="333333"/>
          <w:sz w:val="20"/>
          <w:szCs w:val="20"/>
        </w:rPr>
      </w:pPr>
      <w:r>
        <w:rPr>
          <w:rFonts w:ascii="Century Gothic" w:hAnsi="Century Gothic" w:hint="eastAsia"/>
          <w:color w:val="333333"/>
          <w:sz w:val="20"/>
          <w:szCs w:val="20"/>
        </w:rPr>
        <w:t>确保要求唯一联系人在给定注册服务机构的域名注册中拥有统一的匿名电子邮件地址可行，同时确保安全性</w:t>
      </w:r>
      <w:r>
        <w:rPr>
          <w:rFonts w:ascii="Century Gothic" w:hAnsi="Century Gothic" w:hint="eastAsia"/>
          <w:color w:val="333333"/>
          <w:sz w:val="20"/>
          <w:szCs w:val="20"/>
        </w:rPr>
        <w:t>/</w:t>
      </w:r>
      <w:r>
        <w:rPr>
          <w:rFonts w:ascii="Century Gothic" w:hAnsi="Century Gothic" w:hint="eastAsia"/>
          <w:color w:val="333333"/>
          <w:sz w:val="20"/>
          <w:szCs w:val="20"/>
        </w:rPr>
        <w:t>稳定性并满足附录</w:t>
      </w:r>
      <w:r>
        <w:rPr>
          <w:rFonts w:ascii="Century Gothic" w:hAnsi="Century Gothic" w:hint="eastAsia"/>
          <w:color w:val="333333"/>
          <w:sz w:val="20"/>
          <w:szCs w:val="20"/>
        </w:rPr>
        <w:t xml:space="preserve"> A </w:t>
      </w:r>
      <w:r>
        <w:rPr>
          <w:rFonts w:ascii="Century Gothic" w:hAnsi="Century Gothic" w:hint="eastAsia"/>
          <w:color w:val="333333"/>
          <w:sz w:val="20"/>
          <w:szCs w:val="20"/>
        </w:rPr>
        <w:t>第</w:t>
      </w:r>
      <w:r>
        <w:rPr>
          <w:rFonts w:ascii="Century Gothic" w:hAnsi="Century Gothic" w:hint="eastAsia"/>
          <w:color w:val="333333"/>
          <w:sz w:val="20"/>
          <w:szCs w:val="20"/>
        </w:rPr>
        <w:t xml:space="preserve"> 2.5.1 </w:t>
      </w:r>
      <w:r>
        <w:rPr>
          <w:rFonts w:ascii="Century Gothic" w:hAnsi="Century Gothic" w:hint="eastAsia"/>
          <w:color w:val="333333"/>
          <w:sz w:val="20"/>
          <w:szCs w:val="20"/>
        </w:rPr>
        <w:t>节的要求。</w:t>
      </w:r>
    </w:p>
    <w:p w14:paraId="71307B23" w14:textId="77777777" w:rsidR="00AB2562" w:rsidRPr="00AB2562" w:rsidRDefault="00AB2562" w:rsidP="0010091D">
      <w:pPr>
        <w:numPr>
          <w:ilvl w:val="0"/>
          <w:numId w:val="23"/>
        </w:numPr>
        <w:shd w:val="clear" w:color="auto" w:fill="FFFFFF"/>
        <w:spacing w:after="225"/>
        <w:ind w:left="1020"/>
        <w:jc w:val="both"/>
        <w:rPr>
          <w:rFonts w:ascii="Century Gothic" w:hAnsi="Century Gothic"/>
          <w:color w:val="333333"/>
          <w:sz w:val="20"/>
          <w:szCs w:val="20"/>
        </w:rPr>
      </w:pPr>
      <w:r>
        <w:rPr>
          <w:rFonts w:ascii="Century Gothic" w:hAnsi="Century Gothic" w:hint="eastAsia"/>
          <w:color w:val="333333"/>
          <w:sz w:val="20"/>
          <w:szCs w:val="20"/>
        </w:rPr>
        <w:t>制定方案，针对潜在</w:t>
      </w:r>
      <w:r>
        <w:rPr>
          <w:rFonts w:ascii="Century Gothic" w:hAnsi="Century Gothic" w:hint="eastAsia"/>
          <w:color w:val="333333"/>
          <w:sz w:val="20"/>
          <w:szCs w:val="20"/>
        </w:rPr>
        <w:t> URS </w:t>
      </w:r>
      <w:r>
        <w:rPr>
          <w:rFonts w:ascii="Century Gothic" w:hAnsi="Century Gothic" w:hint="eastAsia"/>
          <w:color w:val="333333"/>
          <w:sz w:val="20"/>
          <w:szCs w:val="20"/>
        </w:rPr>
        <w:t>和</w:t>
      </w:r>
      <w:r>
        <w:rPr>
          <w:rFonts w:ascii="Century Gothic" w:hAnsi="Century Gothic" w:hint="eastAsia"/>
          <w:color w:val="333333"/>
          <w:sz w:val="20"/>
          <w:szCs w:val="20"/>
        </w:rPr>
        <w:t> UDRP </w:t>
      </w:r>
      <w:r>
        <w:rPr>
          <w:rFonts w:ascii="Century Gothic" w:hAnsi="Century Gothic" w:hint="eastAsia"/>
          <w:color w:val="333333"/>
          <w:sz w:val="20"/>
          <w:szCs w:val="20"/>
        </w:rPr>
        <w:t>投诉提供</w:t>
      </w:r>
      <w:proofErr w:type="gramStart"/>
      <w:r>
        <w:rPr>
          <w:rFonts w:ascii="Century Gothic" w:hAnsi="Century Gothic" w:hint="eastAsia"/>
          <w:color w:val="333333"/>
          <w:sz w:val="20"/>
          <w:szCs w:val="20"/>
        </w:rPr>
        <w:t>充分访问</w:t>
      </w:r>
      <w:proofErr w:type="gramEnd"/>
      <w:r>
        <w:rPr>
          <w:rFonts w:ascii="Century Gothic" w:hAnsi="Century Gothic" w:hint="eastAsia"/>
          <w:color w:val="333333"/>
          <w:sz w:val="20"/>
          <w:szCs w:val="20"/>
        </w:rPr>
        <w:t>注册数据的权限，以支持诚信投诉。</w:t>
      </w:r>
    </w:p>
    <w:p w14:paraId="6BF0DD48" w14:textId="77777777" w:rsidR="00AB2562" w:rsidRPr="00AB2562" w:rsidRDefault="00AB2562" w:rsidP="0010091D">
      <w:pPr>
        <w:numPr>
          <w:ilvl w:val="0"/>
          <w:numId w:val="23"/>
        </w:numPr>
        <w:shd w:val="clear" w:color="auto" w:fill="FFFFFF"/>
        <w:spacing w:after="225"/>
        <w:ind w:left="1020"/>
        <w:jc w:val="both"/>
        <w:rPr>
          <w:rFonts w:ascii="Century Gothic" w:hAnsi="Century Gothic"/>
          <w:color w:val="333333"/>
          <w:sz w:val="20"/>
          <w:szCs w:val="20"/>
        </w:rPr>
      </w:pPr>
      <w:r>
        <w:rPr>
          <w:rFonts w:ascii="Century Gothic" w:hAnsi="Century Gothic" w:hint="eastAsia"/>
          <w:color w:val="333333"/>
          <w:sz w:val="20"/>
          <w:szCs w:val="20"/>
        </w:rPr>
        <w:t>在强制所有签约方遵守的前提下，具有合法目的的用户能够持续访问注册数据（包括非公开数据），直至最终认证和访问机制全面投入运营。</w:t>
      </w:r>
    </w:p>
    <w:p w14:paraId="1265FED5" w14:textId="77777777" w:rsidR="00AB2562" w:rsidRPr="00AB2562" w:rsidRDefault="00AB2562" w:rsidP="0010091D">
      <w:pPr>
        <w:numPr>
          <w:ilvl w:val="0"/>
          <w:numId w:val="23"/>
        </w:numPr>
        <w:shd w:val="clear" w:color="auto" w:fill="FFFFFF"/>
        <w:spacing w:after="225"/>
        <w:ind w:left="1020"/>
        <w:jc w:val="both"/>
        <w:rPr>
          <w:rFonts w:ascii="Century Gothic" w:hAnsi="Century Gothic"/>
          <w:color w:val="333333"/>
          <w:sz w:val="20"/>
          <w:szCs w:val="20"/>
        </w:rPr>
      </w:pPr>
      <w:r>
        <w:rPr>
          <w:rFonts w:ascii="Century Gothic" w:hAnsi="Century Gothic" w:hint="eastAsia"/>
          <w:color w:val="333333"/>
          <w:sz w:val="20"/>
          <w:szCs w:val="20"/>
        </w:rPr>
        <w:t>区分法人和自然人，允许公众访问不属于</w:t>
      </w:r>
      <w:r>
        <w:rPr>
          <w:rFonts w:ascii="Century Gothic" w:hAnsi="Century Gothic" w:hint="eastAsia"/>
          <w:color w:val="333333"/>
          <w:sz w:val="20"/>
          <w:szCs w:val="20"/>
        </w:rPr>
        <w:t xml:space="preserve"> GDPR </w:t>
      </w:r>
      <w:r>
        <w:rPr>
          <w:rFonts w:ascii="Century Gothic" w:hAnsi="Century Gothic" w:hint="eastAsia"/>
          <w:color w:val="333333"/>
          <w:sz w:val="20"/>
          <w:szCs w:val="20"/>
        </w:rPr>
        <w:t>规定范围的法人的注册数据。</w:t>
      </w:r>
    </w:p>
    <w:p w14:paraId="6DEDE59A" w14:textId="77777777" w:rsidR="00AB2562" w:rsidRPr="00AB2562" w:rsidRDefault="00AB2562" w:rsidP="0010091D">
      <w:pPr>
        <w:numPr>
          <w:ilvl w:val="0"/>
          <w:numId w:val="23"/>
        </w:numPr>
        <w:shd w:val="clear" w:color="auto" w:fill="FFFFFF"/>
        <w:spacing w:after="225"/>
        <w:ind w:left="1020"/>
        <w:jc w:val="both"/>
        <w:rPr>
          <w:rFonts w:ascii="Century Gothic" w:hAnsi="Century Gothic"/>
          <w:color w:val="333333"/>
          <w:sz w:val="20"/>
          <w:szCs w:val="20"/>
        </w:rPr>
      </w:pPr>
      <w:r>
        <w:rPr>
          <w:rFonts w:ascii="Century Gothic" w:hAnsi="Century Gothic" w:hint="eastAsia"/>
          <w:color w:val="333333"/>
          <w:sz w:val="20"/>
          <w:szCs w:val="20"/>
        </w:rPr>
        <w:t>根据认证计划设想的查询量限制符合现实调查交叉引用的需求。</w:t>
      </w:r>
    </w:p>
    <w:p w14:paraId="36E83DEF" w14:textId="3F3B4DEB" w:rsidR="00962727" w:rsidRPr="00241C6F" w:rsidRDefault="00AB2562" w:rsidP="0010091D">
      <w:pPr>
        <w:numPr>
          <w:ilvl w:val="0"/>
          <w:numId w:val="23"/>
        </w:numPr>
        <w:shd w:val="clear" w:color="auto" w:fill="FFFFFF"/>
        <w:spacing w:after="225"/>
        <w:ind w:left="1020"/>
        <w:jc w:val="both"/>
        <w:rPr>
          <w:rFonts w:ascii="Century Gothic" w:hAnsi="Century Gothic"/>
          <w:color w:val="333333"/>
          <w:sz w:val="20"/>
          <w:szCs w:val="20"/>
        </w:rPr>
      </w:pPr>
      <w:r>
        <w:rPr>
          <w:rFonts w:ascii="Century Gothic" w:hAnsi="Century Gothic" w:hint="eastAsia"/>
          <w:color w:val="333333"/>
          <w:sz w:val="20"/>
          <w:szCs w:val="20"/>
        </w:rPr>
        <w:t>执法机构的注册数据查询的保密性。</w:t>
      </w:r>
    </w:p>
    <w:p w14:paraId="1A6AE836" w14:textId="4F6DFEE4" w:rsidR="00036D48" w:rsidRPr="00E42E83" w:rsidRDefault="00E42E83" w:rsidP="00036D48">
      <w:pPr>
        <w:pStyle w:val="BodyText"/>
        <w:rPr>
          <w:b/>
        </w:rPr>
      </w:pPr>
      <w:r>
        <w:rPr>
          <w:rFonts w:hint="eastAsia"/>
          <w:b/>
        </w:rPr>
        <w:t xml:space="preserve">ICANN </w:t>
      </w:r>
      <w:r>
        <w:rPr>
          <w:rFonts w:hint="eastAsia"/>
          <w:b/>
        </w:rPr>
        <w:t>第</w:t>
      </w:r>
      <w:r>
        <w:rPr>
          <w:rFonts w:hint="eastAsia"/>
          <w:b/>
        </w:rPr>
        <w:t xml:space="preserve"> 62 </w:t>
      </w:r>
      <w:r>
        <w:rPr>
          <w:rFonts w:hint="eastAsia"/>
          <w:b/>
        </w:rPr>
        <w:t>届会议期间的相关会议</w:t>
      </w:r>
    </w:p>
    <w:p w14:paraId="779AA083" w14:textId="53058971" w:rsidR="007E013D" w:rsidRDefault="00E42E83" w:rsidP="00036D48">
      <w:pPr>
        <w:pStyle w:val="BodyText"/>
      </w:pPr>
      <w:r>
        <w:rPr>
          <w:rFonts w:hint="eastAsia"/>
        </w:rPr>
        <w:t xml:space="preserve">6 </w:t>
      </w:r>
      <w:r>
        <w:rPr>
          <w:rFonts w:hint="eastAsia"/>
        </w:rPr>
        <w:t>月</w:t>
      </w:r>
      <w:r>
        <w:rPr>
          <w:rFonts w:hint="eastAsia"/>
        </w:rPr>
        <w:t xml:space="preserve"> 25 </w:t>
      </w:r>
      <w:r>
        <w:rPr>
          <w:rFonts w:hint="eastAsia"/>
        </w:rPr>
        <w:t>日（星期一）：</w:t>
      </w:r>
      <w:r>
        <w:rPr>
          <w:rFonts w:hint="eastAsia"/>
        </w:rPr>
        <w:t xml:space="preserve">GAC </w:t>
      </w:r>
      <w:r>
        <w:rPr>
          <w:rFonts w:hint="eastAsia"/>
        </w:rPr>
        <w:t>会议</w:t>
      </w:r>
      <w:r>
        <w:rPr>
          <w:rFonts w:hint="eastAsia"/>
        </w:rPr>
        <w:t xml:space="preserve"> </w:t>
      </w:r>
      <w:r w:rsidR="0010091D">
        <w:rPr>
          <w:rFonts w:hint="eastAsia"/>
        </w:rPr>
        <w:t>－</w:t>
      </w:r>
      <w:r>
        <w:rPr>
          <w:rFonts w:hint="eastAsia"/>
        </w:rPr>
        <w:t xml:space="preserve"> GDPR </w:t>
      </w:r>
      <w:r>
        <w:rPr>
          <w:rFonts w:hint="eastAsia"/>
        </w:rPr>
        <w:t>概述</w:t>
      </w:r>
    </w:p>
    <w:p w14:paraId="5737E099" w14:textId="5FF155AF" w:rsidR="00E42E83" w:rsidRDefault="00E42E83" w:rsidP="00036D48">
      <w:pPr>
        <w:pStyle w:val="BodyText"/>
      </w:pPr>
      <w:r>
        <w:rPr>
          <w:rFonts w:hint="eastAsia"/>
        </w:rPr>
        <w:t xml:space="preserve">6 </w:t>
      </w:r>
      <w:r>
        <w:rPr>
          <w:rFonts w:hint="eastAsia"/>
        </w:rPr>
        <w:t>月</w:t>
      </w:r>
      <w:r>
        <w:rPr>
          <w:rFonts w:hint="eastAsia"/>
        </w:rPr>
        <w:t xml:space="preserve"> 25 </w:t>
      </w:r>
      <w:r>
        <w:rPr>
          <w:rFonts w:hint="eastAsia"/>
        </w:rPr>
        <w:t>日（星期一）：高关注度主题</w:t>
      </w:r>
      <w:r>
        <w:rPr>
          <w:rFonts w:hint="eastAsia"/>
        </w:rPr>
        <w:t xml:space="preserve"> </w:t>
      </w:r>
      <w:r w:rsidR="0010091D">
        <w:rPr>
          <w:rFonts w:hint="eastAsia"/>
        </w:rPr>
        <w:t>－</w:t>
      </w:r>
      <w:r>
        <w:rPr>
          <w:rFonts w:hint="eastAsia"/>
        </w:rPr>
        <w:t xml:space="preserve"> </w:t>
      </w:r>
      <w:r>
        <w:rPr>
          <w:rFonts w:hint="eastAsia"/>
        </w:rPr>
        <w:t>来自</w:t>
      </w:r>
      <w:r>
        <w:rPr>
          <w:rFonts w:hint="eastAsia"/>
        </w:rPr>
        <w:t xml:space="preserve"> RDS-WHOIS2 </w:t>
      </w:r>
      <w:r>
        <w:rPr>
          <w:rFonts w:hint="eastAsia"/>
        </w:rPr>
        <w:t>审核小组的最新消息</w:t>
      </w:r>
    </w:p>
    <w:p w14:paraId="1FDBE363" w14:textId="339932EF" w:rsidR="007E013D" w:rsidRDefault="00E42E83" w:rsidP="00036D48">
      <w:pPr>
        <w:pStyle w:val="BodyText"/>
      </w:pPr>
      <w:r>
        <w:rPr>
          <w:rFonts w:hint="eastAsia"/>
        </w:rPr>
        <w:t xml:space="preserve">6 </w:t>
      </w:r>
      <w:r>
        <w:rPr>
          <w:rFonts w:hint="eastAsia"/>
        </w:rPr>
        <w:t>月</w:t>
      </w:r>
      <w:r>
        <w:rPr>
          <w:rFonts w:hint="eastAsia"/>
        </w:rPr>
        <w:t xml:space="preserve"> 26 </w:t>
      </w:r>
      <w:r>
        <w:rPr>
          <w:rFonts w:hint="eastAsia"/>
        </w:rPr>
        <w:t>日（星期二）：</w:t>
      </w:r>
      <w:r>
        <w:rPr>
          <w:rFonts w:hint="eastAsia"/>
        </w:rPr>
        <w:t xml:space="preserve">GAC </w:t>
      </w:r>
      <w:r>
        <w:rPr>
          <w:rFonts w:hint="eastAsia"/>
        </w:rPr>
        <w:t>会议</w:t>
      </w:r>
      <w:r>
        <w:rPr>
          <w:rFonts w:hint="eastAsia"/>
        </w:rPr>
        <w:t xml:space="preserve"> </w:t>
      </w:r>
      <w:r w:rsidR="0010091D">
        <w:rPr>
          <w:rFonts w:hint="eastAsia"/>
        </w:rPr>
        <w:t>－</w:t>
      </w:r>
      <w:r>
        <w:rPr>
          <w:rFonts w:hint="eastAsia"/>
        </w:rPr>
        <w:t xml:space="preserve"> GDPR </w:t>
      </w:r>
      <w:r>
        <w:rPr>
          <w:rFonts w:hint="eastAsia"/>
        </w:rPr>
        <w:t>谈论会议</w:t>
      </w:r>
      <w:r>
        <w:rPr>
          <w:rFonts w:hint="eastAsia"/>
        </w:rPr>
        <w:t xml:space="preserve"> (1)</w:t>
      </w:r>
    </w:p>
    <w:p w14:paraId="10AB7902" w14:textId="3AE05C54" w:rsidR="00F8151B" w:rsidRDefault="00E42E83" w:rsidP="00036D48">
      <w:pPr>
        <w:pStyle w:val="BodyText"/>
      </w:pPr>
      <w:r>
        <w:rPr>
          <w:rFonts w:hint="eastAsia"/>
        </w:rPr>
        <w:t xml:space="preserve">6 </w:t>
      </w:r>
      <w:r>
        <w:rPr>
          <w:rFonts w:hint="eastAsia"/>
        </w:rPr>
        <w:t>月</w:t>
      </w:r>
      <w:r>
        <w:rPr>
          <w:rFonts w:hint="eastAsia"/>
        </w:rPr>
        <w:t xml:space="preserve"> 26 </w:t>
      </w:r>
      <w:r>
        <w:rPr>
          <w:rFonts w:hint="eastAsia"/>
        </w:rPr>
        <w:t>日（星期二）：跨社群会议（</w:t>
      </w:r>
      <w:r>
        <w:rPr>
          <w:rFonts w:hint="eastAsia"/>
          <w:b/>
        </w:rPr>
        <w:t>注</w:t>
      </w:r>
      <w:r>
        <w:rPr>
          <w:rFonts w:hint="eastAsia"/>
        </w:rPr>
        <w:t>：会议细节尚未确定。涉及的议题可能包括</w:t>
      </w:r>
      <w:r>
        <w:rPr>
          <w:rFonts w:hint="eastAsia"/>
        </w:rPr>
        <w:t xml:space="preserve"> GAC </w:t>
      </w:r>
      <w:r>
        <w:rPr>
          <w:rFonts w:hint="eastAsia"/>
        </w:rPr>
        <w:t>关心的议题，同时包括针对合规协议和成本，为注册管理机构和注册服务机构提供指导等其他事项）。</w:t>
      </w:r>
    </w:p>
    <w:p w14:paraId="68A4542E" w14:textId="49A06CF1" w:rsidR="00F8151B" w:rsidRDefault="00F8151B" w:rsidP="00F8151B">
      <w:pPr>
        <w:pStyle w:val="BodyText"/>
        <w:numPr>
          <w:ilvl w:val="0"/>
          <w:numId w:val="30"/>
        </w:numPr>
      </w:pPr>
      <w:r>
        <w:rPr>
          <w:rFonts w:hint="eastAsia"/>
        </w:rPr>
        <w:t xml:space="preserve">GDPR </w:t>
      </w:r>
      <w:r>
        <w:rPr>
          <w:rFonts w:hint="eastAsia"/>
        </w:rPr>
        <w:t>发布后的</w:t>
      </w:r>
      <w:r>
        <w:rPr>
          <w:rFonts w:hint="eastAsia"/>
        </w:rPr>
        <w:t xml:space="preserve"> WHOIS/RDS </w:t>
      </w:r>
      <w:r>
        <w:rPr>
          <w:rFonts w:hint="eastAsia"/>
        </w:rPr>
        <w:t>政策</w:t>
      </w:r>
    </w:p>
    <w:p w14:paraId="1E98AC82" w14:textId="659B3E37" w:rsidR="00E42E83" w:rsidRDefault="00F8151B" w:rsidP="00F8151B">
      <w:pPr>
        <w:pStyle w:val="BodyText"/>
        <w:numPr>
          <w:ilvl w:val="0"/>
          <w:numId w:val="29"/>
        </w:numPr>
      </w:pPr>
      <w:r>
        <w:rPr>
          <w:rFonts w:hint="eastAsia"/>
        </w:rPr>
        <w:t xml:space="preserve">GDPR </w:t>
      </w:r>
      <w:r>
        <w:rPr>
          <w:rFonts w:hint="eastAsia"/>
        </w:rPr>
        <w:t>发布后的非公开</w:t>
      </w:r>
      <w:r>
        <w:rPr>
          <w:rFonts w:hint="eastAsia"/>
        </w:rPr>
        <w:t xml:space="preserve"> WHOIS </w:t>
      </w:r>
      <w:r>
        <w:rPr>
          <w:rFonts w:hint="eastAsia"/>
        </w:rPr>
        <w:t>数据的认证和访问权限</w:t>
      </w:r>
      <w:r>
        <w:rPr>
          <w:rFonts w:hint="eastAsia"/>
        </w:rPr>
        <w:t xml:space="preserve"> </w:t>
      </w:r>
    </w:p>
    <w:p w14:paraId="1639B0B8" w14:textId="208D0C12" w:rsidR="00E42E83" w:rsidRDefault="00E42E83" w:rsidP="00036D48">
      <w:pPr>
        <w:pStyle w:val="BodyText"/>
      </w:pPr>
      <w:r>
        <w:rPr>
          <w:rFonts w:hint="eastAsia"/>
        </w:rPr>
        <w:t xml:space="preserve">6 </w:t>
      </w:r>
      <w:r>
        <w:rPr>
          <w:rFonts w:hint="eastAsia"/>
        </w:rPr>
        <w:t>月</w:t>
      </w:r>
      <w:r>
        <w:rPr>
          <w:rFonts w:hint="eastAsia"/>
        </w:rPr>
        <w:t xml:space="preserve"> 27 </w:t>
      </w:r>
      <w:r>
        <w:rPr>
          <w:rFonts w:hint="eastAsia"/>
        </w:rPr>
        <w:t>日（星期三）：</w:t>
      </w:r>
      <w:r>
        <w:rPr>
          <w:rFonts w:hint="eastAsia"/>
        </w:rPr>
        <w:t xml:space="preserve">GAC </w:t>
      </w:r>
      <w:r>
        <w:rPr>
          <w:rFonts w:hint="eastAsia"/>
        </w:rPr>
        <w:t>会议</w:t>
      </w:r>
      <w:r>
        <w:rPr>
          <w:rFonts w:hint="eastAsia"/>
        </w:rPr>
        <w:t xml:space="preserve"> </w:t>
      </w:r>
      <w:r w:rsidR="0010091D">
        <w:rPr>
          <w:rFonts w:hint="eastAsia"/>
        </w:rPr>
        <w:t>－</w:t>
      </w:r>
      <w:r>
        <w:rPr>
          <w:rFonts w:hint="eastAsia"/>
        </w:rPr>
        <w:t xml:space="preserve"> GDPR </w:t>
      </w:r>
      <w:r>
        <w:rPr>
          <w:rFonts w:hint="eastAsia"/>
        </w:rPr>
        <w:t>谈论会议</w:t>
      </w:r>
      <w:r>
        <w:rPr>
          <w:rFonts w:hint="eastAsia"/>
        </w:rPr>
        <w:t xml:space="preserve"> (2)</w:t>
      </w:r>
    </w:p>
    <w:p w14:paraId="3C7B01FD" w14:textId="1B1D9BC6" w:rsidR="00E42E83" w:rsidRDefault="00E42E83" w:rsidP="00036D48">
      <w:pPr>
        <w:pStyle w:val="BodyText"/>
      </w:pPr>
      <w:r>
        <w:rPr>
          <w:rFonts w:hint="eastAsia"/>
        </w:rPr>
        <w:t xml:space="preserve">6 </w:t>
      </w:r>
      <w:r>
        <w:rPr>
          <w:rFonts w:hint="eastAsia"/>
        </w:rPr>
        <w:t>月</w:t>
      </w:r>
      <w:r>
        <w:rPr>
          <w:rFonts w:hint="eastAsia"/>
        </w:rPr>
        <w:t xml:space="preserve"> 27 </w:t>
      </w:r>
      <w:r>
        <w:rPr>
          <w:rFonts w:hint="eastAsia"/>
        </w:rPr>
        <w:t>日（星期三）：</w:t>
      </w:r>
      <w:r>
        <w:rPr>
          <w:rFonts w:hint="eastAsia"/>
        </w:rPr>
        <w:t xml:space="preserve">GAC/ICANN </w:t>
      </w:r>
      <w:r>
        <w:rPr>
          <w:rFonts w:hint="eastAsia"/>
        </w:rPr>
        <w:t>董事会会议</w:t>
      </w:r>
    </w:p>
    <w:p w14:paraId="59EDABC8" w14:textId="4C42E39F" w:rsidR="00E42E83" w:rsidRDefault="00E42E83" w:rsidP="00036D48">
      <w:pPr>
        <w:pStyle w:val="BodyText"/>
      </w:pPr>
      <w:r>
        <w:rPr>
          <w:rFonts w:hint="eastAsia"/>
        </w:rPr>
        <w:lastRenderedPageBreak/>
        <w:t xml:space="preserve">6 </w:t>
      </w:r>
      <w:r>
        <w:rPr>
          <w:rFonts w:hint="eastAsia"/>
        </w:rPr>
        <w:t>月</w:t>
      </w:r>
      <w:r>
        <w:rPr>
          <w:rFonts w:hint="eastAsia"/>
        </w:rPr>
        <w:t xml:space="preserve"> 27 </w:t>
      </w:r>
      <w:r>
        <w:rPr>
          <w:rFonts w:hint="eastAsia"/>
        </w:rPr>
        <w:t>日（星期三）：</w:t>
      </w:r>
      <w:r>
        <w:rPr>
          <w:rFonts w:hint="eastAsia"/>
        </w:rPr>
        <w:t xml:space="preserve">GAC </w:t>
      </w:r>
      <w:r>
        <w:rPr>
          <w:rFonts w:hint="eastAsia"/>
        </w:rPr>
        <w:t>公报起草</w:t>
      </w:r>
    </w:p>
    <w:p w14:paraId="3D233430" w14:textId="3EC9DECB" w:rsidR="00F8151B" w:rsidRPr="00036D48" w:rsidRDefault="00F8151B" w:rsidP="00036D48">
      <w:pPr>
        <w:pStyle w:val="BodyText"/>
      </w:pPr>
      <w:r>
        <w:rPr>
          <w:rFonts w:hint="eastAsia"/>
        </w:rPr>
        <w:t xml:space="preserve">6 </w:t>
      </w:r>
      <w:r>
        <w:rPr>
          <w:rFonts w:hint="eastAsia"/>
        </w:rPr>
        <w:t>月</w:t>
      </w:r>
      <w:r>
        <w:rPr>
          <w:rFonts w:hint="eastAsia"/>
        </w:rPr>
        <w:t xml:space="preserve"> 28 </w:t>
      </w:r>
      <w:r>
        <w:rPr>
          <w:rFonts w:hint="eastAsia"/>
        </w:rPr>
        <w:t>日（星期四）：</w:t>
      </w:r>
      <w:r>
        <w:rPr>
          <w:rFonts w:hint="eastAsia"/>
        </w:rPr>
        <w:t xml:space="preserve">gTLD </w:t>
      </w:r>
      <w:r>
        <w:rPr>
          <w:rFonts w:hint="eastAsia"/>
        </w:rPr>
        <w:t>注册数据临时规范</w:t>
      </w:r>
    </w:p>
    <w:p w14:paraId="3AF578CE" w14:textId="4723B32A" w:rsidR="00EF36F3" w:rsidRDefault="00EF36F3" w:rsidP="00EF36F3">
      <w:pPr>
        <w:pStyle w:val="Heading2"/>
      </w:pPr>
      <w:r>
        <w:rPr>
          <w:rFonts w:hint="eastAsia"/>
        </w:rPr>
        <w:t>更多信息</w:t>
      </w:r>
    </w:p>
    <w:p w14:paraId="3F9D23A1" w14:textId="650C8D54" w:rsidR="00EF36F3" w:rsidRDefault="008331DD" w:rsidP="00EF36F3">
      <w:pPr>
        <w:pStyle w:val="BodyText"/>
      </w:pPr>
      <w:hyperlink r:id="rId9" w:history="1">
        <w:r w:rsidR="00C87641">
          <w:rPr>
            <w:rStyle w:val="Hyperlink"/>
            <w:rFonts w:hint="eastAsia"/>
          </w:rPr>
          <w:t xml:space="preserve">GAC </w:t>
        </w:r>
        <w:r w:rsidR="00C87641">
          <w:rPr>
            <w:rStyle w:val="Hyperlink"/>
            <w:rFonts w:hint="eastAsia"/>
          </w:rPr>
          <w:t>网站</w:t>
        </w:r>
      </w:hyperlink>
    </w:p>
    <w:p w14:paraId="672B2096" w14:textId="2D96B4BF" w:rsidR="009A63F4" w:rsidRDefault="008331DD" w:rsidP="00EF36F3">
      <w:pPr>
        <w:pStyle w:val="BodyText"/>
      </w:pPr>
      <w:hyperlink r:id="rId10" w:history="1">
        <w:r w:rsidR="00C87641">
          <w:rPr>
            <w:rStyle w:val="Hyperlink"/>
            <w:rFonts w:hint="eastAsia"/>
          </w:rPr>
          <w:t xml:space="preserve">ICANN </w:t>
        </w:r>
        <w:r w:rsidR="00C87641">
          <w:rPr>
            <w:rStyle w:val="Hyperlink"/>
            <w:rFonts w:hint="eastAsia"/>
          </w:rPr>
          <w:t>数据保护</w:t>
        </w:r>
        <w:r w:rsidR="00C87641">
          <w:rPr>
            <w:rStyle w:val="Hyperlink"/>
            <w:rFonts w:hint="eastAsia"/>
          </w:rPr>
          <w:t>/</w:t>
        </w:r>
        <w:r w:rsidR="00C87641">
          <w:rPr>
            <w:rStyle w:val="Hyperlink"/>
            <w:rFonts w:hint="eastAsia"/>
          </w:rPr>
          <w:t>隐私性页面</w:t>
        </w:r>
      </w:hyperlink>
    </w:p>
    <w:p w14:paraId="30102AEC" w14:textId="09A0C614" w:rsidR="00BF4CFB" w:rsidRDefault="008331DD" w:rsidP="00EF36F3">
      <w:pPr>
        <w:pStyle w:val="BodyText"/>
      </w:pPr>
      <w:hyperlink r:id="rId11" w:history="1">
        <w:r w:rsidR="00C87641">
          <w:rPr>
            <w:rStyle w:val="Hyperlink"/>
            <w:rFonts w:hint="eastAsia"/>
          </w:rPr>
          <w:t xml:space="preserve">ICANN </w:t>
        </w:r>
        <w:r w:rsidR="00C87641">
          <w:rPr>
            <w:rStyle w:val="Hyperlink"/>
            <w:rFonts w:hint="eastAsia"/>
          </w:rPr>
          <w:t>第</w:t>
        </w:r>
        <w:r w:rsidR="00C87641">
          <w:rPr>
            <w:rStyle w:val="Hyperlink"/>
            <w:rFonts w:hint="eastAsia"/>
          </w:rPr>
          <w:t xml:space="preserve"> 62 </w:t>
        </w:r>
        <w:r w:rsidR="00C87641">
          <w:rPr>
            <w:rStyle w:val="Hyperlink"/>
            <w:rFonts w:hint="eastAsia"/>
          </w:rPr>
          <w:t>届会议日程表</w:t>
        </w:r>
      </w:hyperlink>
    </w:p>
    <w:p w14:paraId="1D48DB79" w14:textId="77777777" w:rsidR="00E15459" w:rsidRDefault="00E15459" w:rsidP="00E15459">
      <w:pPr>
        <w:pStyle w:val="Heading2"/>
      </w:pPr>
      <w:bookmarkStart w:id="1" w:name="_Hlk484433727"/>
    </w:p>
    <w:p w14:paraId="0A190E78" w14:textId="636B0FC5" w:rsidR="00E15459" w:rsidRDefault="00E15459" w:rsidP="00E15459">
      <w:pPr>
        <w:pStyle w:val="Heading2"/>
      </w:pPr>
      <w:r>
        <w:rPr>
          <w:rFonts w:hint="eastAsia"/>
        </w:rPr>
        <w:t>文档管理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15459" w:rsidRPr="003F43E3" w14:paraId="5AF9ECC9" w14:textId="77777777" w:rsidTr="00D27E64">
        <w:tc>
          <w:tcPr>
            <w:tcW w:w="3261" w:type="dxa"/>
            <w:vAlign w:val="center"/>
          </w:tcPr>
          <w:p w14:paraId="7E4CC06C" w14:textId="77777777" w:rsidR="00E15459" w:rsidRPr="003F43E3" w:rsidRDefault="00E15459" w:rsidP="00D27E64">
            <w:pPr>
              <w:ind w:right="-132"/>
              <w:rPr>
                <w:rFonts w:ascii="Century Gothic" w:eastAsiaTheme="minorEastAsia" w:hAnsi="Century Gothic" w:cstheme="minorBidi"/>
                <w:b/>
                <w:sz w:val="20"/>
                <w:szCs w:val="20"/>
              </w:rPr>
            </w:pPr>
            <w:r>
              <w:rPr>
                <w:rFonts w:ascii="Century Gothic" w:hAnsi="Century Gothic" w:hint="eastAsia"/>
                <w:b/>
                <w:sz w:val="20"/>
                <w:szCs w:val="20"/>
              </w:rPr>
              <w:t>标题</w:t>
            </w:r>
          </w:p>
        </w:tc>
        <w:tc>
          <w:tcPr>
            <w:tcW w:w="5811" w:type="dxa"/>
            <w:vAlign w:val="center"/>
          </w:tcPr>
          <w:p w14:paraId="617EDD3A" w14:textId="0BC17ACD" w:rsidR="00E15459" w:rsidRPr="00EA3A02" w:rsidRDefault="00E42E83" w:rsidP="00D27E64">
            <w:pPr>
              <w:ind w:right="545"/>
              <w:rPr>
                <w:rFonts w:ascii="Century Gothic" w:eastAsiaTheme="minorEastAsia" w:hAnsi="Century Gothic" w:cstheme="minorBidi"/>
                <w:sz w:val="20"/>
                <w:szCs w:val="20"/>
              </w:rPr>
            </w:pPr>
            <w:r>
              <w:rPr>
                <w:rFonts w:ascii="Century Gothic" w:hAnsi="Century Gothic" w:hint="eastAsia"/>
                <w:sz w:val="20"/>
                <w:szCs w:val="20"/>
              </w:rPr>
              <w:t xml:space="preserve">GDPR </w:t>
            </w:r>
            <w:r>
              <w:rPr>
                <w:rFonts w:ascii="Century Gothic" w:hAnsi="Century Gothic" w:hint="eastAsia"/>
                <w:sz w:val="20"/>
                <w:szCs w:val="20"/>
              </w:rPr>
              <w:t>概述</w:t>
            </w:r>
          </w:p>
        </w:tc>
      </w:tr>
      <w:tr w:rsidR="00E15459" w:rsidRPr="003F43E3" w14:paraId="6D5C3D47" w14:textId="77777777" w:rsidTr="00D27E64">
        <w:tc>
          <w:tcPr>
            <w:tcW w:w="3261" w:type="dxa"/>
            <w:vAlign w:val="center"/>
          </w:tcPr>
          <w:p w14:paraId="4CC45D6D" w14:textId="77777777" w:rsidR="00E15459" w:rsidRPr="003F43E3" w:rsidRDefault="00E15459" w:rsidP="00D27E64">
            <w:pPr>
              <w:ind w:right="-132"/>
              <w:rPr>
                <w:rFonts w:ascii="Century Gothic" w:eastAsiaTheme="minorEastAsia" w:hAnsi="Century Gothic" w:cstheme="minorBidi"/>
                <w:b/>
                <w:sz w:val="20"/>
                <w:szCs w:val="20"/>
              </w:rPr>
            </w:pPr>
            <w:r>
              <w:rPr>
                <w:rFonts w:ascii="Century Gothic" w:hAnsi="Century Gothic" w:hint="eastAsia"/>
                <w:b/>
                <w:sz w:val="20"/>
                <w:szCs w:val="20"/>
              </w:rPr>
              <w:t>分发对象</w:t>
            </w:r>
          </w:p>
        </w:tc>
        <w:tc>
          <w:tcPr>
            <w:tcW w:w="5811" w:type="dxa"/>
            <w:vAlign w:val="center"/>
          </w:tcPr>
          <w:p w14:paraId="244104A7" w14:textId="77777777" w:rsidR="00E15459" w:rsidRPr="003F43E3" w:rsidRDefault="00E15459" w:rsidP="00D27E64">
            <w:pPr>
              <w:ind w:right="545"/>
              <w:rPr>
                <w:rFonts w:ascii="Century Gothic" w:eastAsiaTheme="minorEastAsia" w:hAnsi="Century Gothic" w:cstheme="minorBidi"/>
                <w:sz w:val="20"/>
                <w:szCs w:val="20"/>
              </w:rPr>
            </w:pPr>
            <w:r>
              <w:rPr>
                <w:rFonts w:ascii="Century Gothic" w:hAnsi="Century Gothic" w:hint="eastAsia"/>
                <w:sz w:val="20"/>
                <w:szCs w:val="20"/>
              </w:rPr>
              <w:t xml:space="preserve">GAC </w:t>
            </w:r>
            <w:r>
              <w:rPr>
                <w:rFonts w:ascii="Century Gothic" w:hAnsi="Century Gothic" w:hint="eastAsia"/>
                <w:sz w:val="20"/>
                <w:szCs w:val="20"/>
              </w:rPr>
              <w:t>成员</w:t>
            </w:r>
          </w:p>
        </w:tc>
      </w:tr>
      <w:tr w:rsidR="00E15459" w:rsidRPr="003F43E3" w14:paraId="5BBD5348" w14:textId="77777777" w:rsidTr="00D27E64">
        <w:tc>
          <w:tcPr>
            <w:tcW w:w="3261" w:type="dxa"/>
            <w:vAlign w:val="center"/>
          </w:tcPr>
          <w:p w14:paraId="06A7B8FE" w14:textId="77777777" w:rsidR="00E15459" w:rsidRPr="003F43E3" w:rsidRDefault="00E15459" w:rsidP="00D27E64">
            <w:pPr>
              <w:ind w:right="-132"/>
              <w:rPr>
                <w:rFonts w:ascii="Century Gothic" w:eastAsiaTheme="minorEastAsia" w:hAnsi="Century Gothic" w:cstheme="minorBidi"/>
                <w:b/>
                <w:sz w:val="20"/>
                <w:szCs w:val="20"/>
              </w:rPr>
            </w:pPr>
            <w:r>
              <w:rPr>
                <w:rFonts w:ascii="Century Gothic" w:hAnsi="Century Gothic" w:hint="eastAsia"/>
                <w:b/>
                <w:sz w:val="20"/>
                <w:szCs w:val="20"/>
              </w:rPr>
              <w:t>分发日期</w:t>
            </w:r>
          </w:p>
        </w:tc>
        <w:tc>
          <w:tcPr>
            <w:tcW w:w="5811" w:type="dxa"/>
            <w:vAlign w:val="center"/>
          </w:tcPr>
          <w:p w14:paraId="6B70A6D6" w14:textId="00CBB9C0" w:rsidR="00E15459" w:rsidRPr="003F43E3" w:rsidRDefault="00A25553" w:rsidP="00D27E64">
            <w:pPr>
              <w:ind w:right="545"/>
              <w:rPr>
                <w:rFonts w:ascii="Century Gothic" w:eastAsiaTheme="minorEastAsia" w:hAnsi="Century Gothic" w:cstheme="minorBidi"/>
                <w:sz w:val="20"/>
                <w:szCs w:val="20"/>
              </w:rPr>
            </w:pPr>
            <w:r>
              <w:rPr>
                <w:rFonts w:ascii="Century Gothic" w:hAnsi="Century Gothic" w:hint="eastAsia"/>
                <w:sz w:val="20"/>
                <w:szCs w:val="20"/>
              </w:rPr>
              <w:t xml:space="preserve">2018 </w:t>
            </w:r>
            <w:r>
              <w:rPr>
                <w:rFonts w:ascii="Century Gothic" w:hAnsi="Century Gothic" w:hint="eastAsia"/>
                <w:sz w:val="20"/>
                <w:szCs w:val="20"/>
              </w:rPr>
              <w:t>年</w:t>
            </w:r>
            <w:r>
              <w:rPr>
                <w:rFonts w:ascii="Century Gothic" w:hAnsi="Century Gothic" w:hint="eastAsia"/>
                <w:sz w:val="20"/>
                <w:szCs w:val="20"/>
              </w:rPr>
              <w:t xml:space="preserve"> 6 </w:t>
            </w:r>
            <w:r>
              <w:rPr>
                <w:rFonts w:ascii="Century Gothic" w:hAnsi="Century Gothic" w:hint="eastAsia"/>
                <w:sz w:val="20"/>
                <w:szCs w:val="20"/>
              </w:rPr>
              <w:t>月</w:t>
            </w:r>
            <w:r>
              <w:rPr>
                <w:rFonts w:ascii="Century Gothic" w:hAnsi="Century Gothic" w:hint="eastAsia"/>
                <w:sz w:val="20"/>
                <w:szCs w:val="20"/>
              </w:rPr>
              <w:t xml:space="preserve"> 6 </w:t>
            </w:r>
            <w:r>
              <w:rPr>
                <w:rFonts w:ascii="Century Gothic" w:hAnsi="Century Gothic" w:hint="eastAsia"/>
                <w:sz w:val="20"/>
                <w:szCs w:val="20"/>
              </w:rPr>
              <w:t>日</w:t>
            </w:r>
          </w:p>
        </w:tc>
      </w:tr>
      <w:bookmarkEnd w:id="1"/>
    </w:tbl>
    <w:p w14:paraId="33DD9A1F" w14:textId="0FB73C68" w:rsidR="005B7B51" w:rsidRDefault="005B7B51" w:rsidP="00E15459">
      <w:pPr>
        <w:pStyle w:val="BodyText"/>
        <w:ind w:right="545"/>
      </w:pPr>
    </w:p>
    <w:sectPr w:rsidR="005B7B51" w:rsidSect="007A174E">
      <w:headerReference w:type="default" r:id="rId12"/>
      <w:footerReference w:type="default" r:id="rId13"/>
      <w:headerReference w:type="first" r:id="rId14"/>
      <w:footerReference w:type="first" r:id="rId15"/>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794F2" w14:textId="77777777" w:rsidR="008331DD" w:rsidRDefault="008331DD" w:rsidP="00A24449">
      <w:r>
        <w:separator/>
      </w:r>
    </w:p>
  </w:endnote>
  <w:endnote w:type="continuationSeparator" w:id="0">
    <w:p w14:paraId="16AD3DB1" w14:textId="77777777" w:rsidR="008331DD" w:rsidRDefault="008331DD"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BFA9" w14:textId="77777777" w:rsidR="00776376" w:rsidRDefault="00776376" w:rsidP="002276FD">
    <w:pPr>
      <w:pStyle w:val="Footer"/>
      <w:ind w:left="-567" w:right="261"/>
    </w:pPr>
  </w:p>
  <w:p w14:paraId="1F6A8333" w14:textId="66A7A2BD" w:rsidR="00776376" w:rsidRPr="0010091D" w:rsidRDefault="00776376" w:rsidP="00E15459">
    <w:pPr>
      <w:pBdr>
        <w:top w:val="single" w:sz="18" w:space="1" w:color="1F497D"/>
      </w:pBdr>
      <w:spacing w:before="240"/>
      <w:ind w:right="545"/>
      <w:rPr>
        <w:rFonts w:ascii="Century Gothic" w:hAnsi="Century Gothic"/>
        <w:color w:val="00408E"/>
        <w:sz w:val="16"/>
        <w:szCs w:val="16"/>
      </w:rPr>
    </w:pPr>
    <w:r>
      <w:rPr>
        <w:rFonts w:ascii="Century Gothic" w:hAnsi="Century Gothic" w:hint="eastAsia"/>
        <w:color w:val="00408E"/>
        <w:sz w:val="16"/>
        <w:szCs w:val="16"/>
      </w:rPr>
      <w:tab/>
    </w:r>
    <w:r w:rsidR="0010091D">
      <w:rPr>
        <w:rFonts w:ascii="Century Gothic" w:hAnsi="Century Gothic"/>
        <w:color w:val="00408E"/>
        <w:sz w:val="16"/>
        <w:szCs w:val="16"/>
      </w:rPr>
      <w:tab/>
    </w:r>
    <w:r w:rsidR="0010091D">
      <w:rPr>
        <w:rFonts w:ascii="Century Gothic" w:hAnsi="Century Gothic"/>
        <w:color w:val="00408E"/>
        <w:sz w:val="16"/>
        <w:szCs w:val="16"/>
      </w:rPr>
      <w:tab/>
    </w:r>
    <w:r w:rsidR="0010091D">
      <w:rPr>
        <w:rFonts w:ascii="Century Gothic" w:hAnsi="Century Gothic"/>
        <w:color w:val="00408E"/>
        <w:sz w:val="16"/>
        <w:szCs w:val="16"/>
      </w:rPr>
      <w:tab/>
    </w:r>
    <w:r w:rsidR="0010091D">
      <w:rPr>
        <w:rFonts w:ascii="Century Gothic" w:hAnsi="Century Gothic"/>
        <w:color w:val="00408E"/>
        <w:sz w:val="16"/>
        <w:szCs w:val="16"/>
      </w:rPr>
      <w:tab/>
    </w:r>
    <w:r w:rsidR="0010091D">
      <w:rPr>
        <w:rFonts w:ascii="Century Gothic" w:hAnsi="Century Gothic"/>
        <w:color w:val="00408E"/>
        <w:sz w:val="16"/>
        <w:szCs w:val="16"/>
      </w:rPr>
      <w:tab/>
    </w:r>
    <w:r w:rsidR="0010091D">
      <w:rPr>
        <w:rFonts w:ascii="Century Gothic" w:hAnsi="Century Gothic"/>
        <w:color w:val="00408E"/>
        <w:sz w:val="16"/>
        <w:szCs w:val="16"/>
      </w:rPr>
      <w:tab/>
    </w:r>
    <w:r w:rsidR="0010091D">
      <w:rPr>
        <w:rFonts w:ascii="Century Gothic" w:hAnsi="Century Gothic"/>
        <w:color w:val="00408E"/>
        <w:sz w:val="16"/>
        <w:szCs w:val="16"/>
      </w:rPr>
      <w:tab/>
    </w:r>
    <w:r w:rsidR="0010091D">
      <w:rPr>
        <w:rFonts w:ascii="Century Gothic" w:hAnsi="Century Gothic"/>
        <w:color w:val="00408E"/>
        <w:sz w:val="16"/>
        <w:szCs w:val="16"/>
      </w:rPr>
      <w:tab/>
    </w:r>
    <w:r w:rsidR="0010091D">
      <w:rPr>
        <w:rFonts w:ascii="Century Gothic" w:hAnsi="Century Gothic"/>
        <w:color w:val="00408E"/>
        <w:sz w:val="16"/>
        <w:szCs w:val="16"/>
      </w:rPr>
      <w:tab/>
      <w:t xml:space="preserve">          </w:t>
    </w:r>
    <w:r>
      <w:rPr>
        <w:rFonts w:ascii="Century Gothic" w:hAnsi="Century Gothic" w:hint="eastAsia"/>
        <w:color w:val="00408E"/>
        <w:sz w:val="16"/>
        <w:szCs w:val="16"/>
      </w:rPr>
      <w:t>第</w:t>
    </w:r>
    <w:r>
      <w:rPr>
        <w:rFonts w:ascii="Century Gothic" w:hAnsi="Century Gothic" w:hint="eastAsia"/>
        <w:color w:val="00408E"/>
        <w:sz w:val="16"/>
        <w:szCs w:val="16"/>
      </w:rPr>
      <w:t xml:space="preserve"> </w:t>
    </w:r>
    <w:r w:rsidRPr="00B026C8">
      <w:rPr>
        <w:rFonts w:ascii="Century Gothic" w:hAnsi="Century Gothic" w:hint="eastAsia"/>
        <w:color w:val="00408E"/>
        <w:sz w:val="16"/>
        <w:szCs w:val="16"/>
      </w:rPr>
      <w:fldChar w:fldCharType="begin"/>
    </w:r>
    <w:r w:rsidRPr="00B026C8">
      <w:rPr>
        <w:rFonts w:ascii="Century Gothic" w:hAnsi="Century Gothic" w:hint="eastAsia"/>
        <w:color w:val="00408E"/>
        <w:sz w:val="16"/>
        <w:szCs w:val="16"/>
      </w:rPr>
      <w:instrText xml:space="preserve"> PAGE </w:instrText>
    </w:r>
    <w:r w:rsidRPr="00B026C8">
      <w:rPr>
        <w:rFonts w:ascii="Century Gothic" w:hAnsi="Century Gothic" w:hint="eastAsia"/>
        <w:color w:val="00408E"/>
        <w:sz w:val="16"/>
        <w:szCs w:val="16"/>
      </w:rPr>
      <w:fldChar w:fldCharType="separate"/>
    </w:r>
    <w:r w:rsidR="004E28DA">
      <w:rPr>
        <w:rFonts w:ascii="Century Gothic" w:hAnsi="Century Gothic" w:hint="eastAsia"/>
        <w:color w:val="00408E"/>
        <w:sz w:val="16"/>
        <w:szCs w:val="16"/>
      </w:rPr>
      <w:t>1</w:t>
    </w:r>
    <w:r w:rsidRPr="00B026C8">
      <w:rPr>
        <w:rFonts w:ascii="Century Gothic" w:hAnsi="Century Gothic" w:hint="eastAsia"/>
        <w:color w:val="00408E"/>
        <w:sz w:val="16"/>
        <w:szCs w:val="16"/>
      </w:rPr>
      <w:fldChar w:fldCharType="end"/>
    </w:r>
    <w:r>
      <w:rPr>
        <w:rFonts w:ascii="Century Gothic" w:hAnsi="Century Gothic" w:hint="eastAsia"/>
        <w:color w:val="00408E"/>
        <w:sz w:val="16"/>
        <w:szCs w:val="16"/>
      </w:rPr>
      <w:t xml:space="preserve"> </w:t>
    </w:r>
    <w:r>
      <w:rPr>
        <w:rFonts w:ascii="Century Gothic" w:hAnsi="Century Gothic" w:hint="eastAsia"/>
        <w:color w:val="00408E"/>
        <w:sz w:val="16"/>
        <w:szCs w:val="16"/>
      </w:rPr>
      <w:t>页，共</w:t>
    </w:r>
    <w:r>
      <w:rPr>
        <w:rFonts w:ascii="Century Gothic" w:hAnsi="Century Gothic" w:hint="eastAsia"/>
        <w:color w:val="00408E"/>
        <w:sz w:val="16"/>
        <w:szCs w:val="16"/>
      </w:rPr>
      <w:t xml:space="preserve"> </w:t>
    </w:r>
    <w:r w:rsidRPr="00B026C8">
      <w:rPr>
        <w:rFonts w:ascii="Century Gothic" w:hAnsi="Century Gothic" w:hint="eastAsia"/>
        <w:color w:val="00408E"/>
        <w:sz w:val="16"/>
        <w:szCs w:val="16"/>
      </w:rPr>
      <w:fldChar w:fldCharType="begin"/>
    </w:r>
    <w:r w:rsidRPr="00B026C8">
      <w:rPr>
        <w:rFonts w:ascii="Century Gothic" w:hAnsi="Century Gothic" w:hint="eastAsia"/>
        <w:color w:val="00408E"/>
        <w:sz w:val="16"/>
        <w:szCs w:val="16"/>
      </w:rPr>
      <w:instrText xml:space="preserve"> NUMPAGES  </w:instrText>
    </w:r>
    <w:r w:rsidRPr="00B026C8">
      <w:rPr>
        <w:rFonts w:ascii="Century Gothic" w:hAnsi="Century Gothic" w:hint="eastAsia"/>
        <w:color w:val="00408E"/>
        <w:sz w:val="16"/>
        <w:szCs w:val="16"/>
      </w:rPr>
      <w:fldChar w:fldCharType="separate"/>
    </w:r>
    <w:r w:rsidR="004E28DA">
      <w:rPr>
        <w:rFonts w:ascii="Century Gothic" w:hAnsi="Century Gothic" w:hint="eastAsia"/>
        <w:color w:val="00408E"/>
        <w:sz w:val="16"/>
        <w:szCs w:val="16"/>
      </w:rPr>
      <w:t>1</w:t>
    </w:r>
    <w:r w:rsidRPr="00B026C8">
      <w:rPr>
        <w:rFonts w:ascii="Century Gothic" w:hAnsi="Century Gothic" w:hint="eastAsia"/>
        <w:color w:val="00408E"/>
        <w:sz w:val="16"/>
        <w:szCs w:val="16"/>
      </w:rPr>
      <w:fldChar w:fldCharType="end"/>
    </w:r>
    <w:r w:rsidRPr="0010091D">
      <w:rPr>
        <w:rFonts w:ascii="Century Gothic" w:hAnsi="Century Gothic" w:hint="eastAsia"/>
        <w:color w:val="00408E"/>
        <w:sz w:val="16"/>
        <w:szCs w:val="16"/>
      </w:rPr>
      <w:t xml:space="preserve"> </w:t>
    </w:r>
    <w:r w:rsidRPr="0010091D">
      <w:rPr>
        <w:rFonts w:ascii="Century Gothic" w:hAnsi="Century Gothic" w:hint="eastAsia"/>
        <w:color w:val="00408E"/>
        <w:sz w:val="16"/>
        <w:szCs w:val="16"/>
      </w:rPr>
      <w:t>页</w:t>
    </w:r>
  </w:p>
  <w:p w14:paraId="5437F5F8" w14:textId="77777777" w:rsidR="00776376" w:rsidRPr="000C0FD7" w:rsidRDefault="00776376" w:rsidP="003D7A8D">
    <w:pPr>
      <w:pStyle w:val="Footer"/>
      <w:tabs>
        <w:tab w:val="clear" w:pos="9360"/>
        <w:tab w:val="right" w:pos="8931"/>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29D5" w14:textId="77777777" w:rsidR="00776376" w:rsidRPr="00C2562C" w:rsidRDefault="00776376" w:rsidP="00740F60">
    <w:pPr>
      <w:pBdr>
        <w:top w:val="single" w:sz="18" w:space="1" w:color="1F497D"/>
      </w:pBdr>
      <w:spacing w:before="240"/>
      <w:ind w:right="544"/>
      <w:rPr>
        <w:color w:val="00408E"/>
        <w:sz w:val="2"/>
        <w:szCs w:val="2"/>
      </w:rPr>
    </w:pPr>
  </w:p>
  <w:p w14:paraId="6CEFBB86" w14:textId="77777777" w:rsidR="00776376" w:rsidRPr="00B026C8" w:rsidRDefault="00776376" w:rsidP="00740F60">
    <w:pPr>
      <w:pStyle w:val="NoSpacing"/>
      <w:ind w:right="544"/>
      <w:jc w:val="right"/>
      <w:rPr>
        <w:sz w:val="16"/>
        <w:szCs w:val="16"/>
      </w:rPr>
    </w:pPr>
    <w:r>
      <w:rPr>
        <w:rFonts w:hint="eastAsia"/>
        <w:sz w:val="16"/>
        <w:szCs w:val="16"/>
      </w:rPr>
      <w:t xml:space="preserve">203 Drummond Street, Carlton VIC 3053 </w:t>
    </w:r>
  </w:p>
  <w:p w14:paraId="43F9FA24" w14:textId="77777777" w:rsidR="00776376" w:rsidRPr="00B026C8" w:rsidRDefault="00776376" w:rsidP="00740F60">
    <w:pPr>
      <w:pStyle w:val="NoSpacing"/>
      <w:ind w:right="544"/>
      <w:jc w:val="right"/>
      <w:rPr>
        <w:sz w:val="16"/>
        <w:szCs w:val="16"/>
      </w:rPr>
    </w:pPr>
    <w:r>
      <w:rPr>
        <w:rFonts w:hint="eastAsia"/>
        <w:sz w:val="16"/>
        <w:szCs w:val="16"/>
      </w:rPr>
      <w:t>03 9650 7222</w:t>
    </w:r>
  </w:p>
  <w:p w14:paraId="67FE17A9" w14:textId="77777777" w:rsidR="00776376" w:rsidRPr="00B026C8" w:rsidRDefault="00776376" w:rsidP="00740F60">
    <w:pPr>
      <w:pStyle w:val="NoSpacing"/>
      <w:ind w:right="544"/>
      <w:jc w:val="right"/>
      <w:rPr>
        <w:sz w:val="16"/>
        <w:szCs w:val="16"/>
      </w:rPr>
    </w:pPr>
    <w:r>
      <w:rPr>
        <w:rFonts w:hint="eastAsia"/>
        <w:sz w:val="16"/>
        <w:szCs w:val="16"/>
      </w:rPr>
      <w:t xml:space="preserve">www.acig.com.au </w:t>
    </w:r>
  </w:p>
  <w:p w14:paraId="19DE8D68" w14:textId="77777777" w:rsidR="00776376" w:rsidRDefault="00776376" w:rsidP="003D7A8D">
    <w:pPr>
      <w:pStyle w:val="Footer"/>
      <w:jc w:val="center"/>
      <w:rPr>
        <w:color w:val="00408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8E831" w14:textId="77777777" w:rsidR="008331DD" w:rsidRDefault="008331DD" w:rsidP="00A24449">
      <w:r>
        <w:separator/>
      </w:r>
    </w:p>
  </w:footnote>
  <w:footnote w:type="continuationSeparator" w:id="0">
    <w:p w14:paraId="6F9F7314" w14:textId="77777777" w:rsidR="008331DD" w:rsidRDefault="008331DD" w:rsidP="00A24449">
      <w:r>
        <w:continuationSeparator/>
      </w:r>
    </w:p>
  </w:footnote>
  <w:footnote w:id="1">
    <w:p w14:paraId="68AA3F06" w14:textId="77777777" w:rsidR="009A63F4" w:rsidRPr="009A63F4" w:rsidRDefault="009A63F4" w:rsidP="009A63F4">
      <w:pPr>
        <w:rPr>
          <w:rFonts w:ascii="Century Gothic" w:hAnsi="Century Gothic"/>
          <w:sz w:val="18"/>
          <w:szCs w:val="18"/>
        </w:rPr>
      </w:pPr>
      <w:r>
        <w:rPr>
          <w:rStyle w:val="FootnoteReference"/>
          <w:rFonts w:ascii="Century Gothic" w:hAnsi="Century Gothic"/>
          <w:sz w:val="18"/>
          <w:szCs w:val="18"/>
        </w:rPr>
        <w:footnoteRef/>
      </w:r>
      <w:r>
        <w:rPr>
          <w:rFonts w:ascii="Century Gothic" w:hAnsi="Century Gothic" w:hint="eastAsia"/>
          <w:sz w:val="18"/>
          <w:szCs w:val="18"/>
        </w:rPr>
        <w:t xml:space="preserve"> </w:t>
      </w:r>
      <w:r>
        <w:rPr>
          <w:rFonts w:ascii="Century Gothic" w:hAnsi="Century Gothic" w:hint="eastAsia"/>
          <w:sz w:val="18"/>
          <w:szCs w:val="18"/>
        </w:rPr>
        <w:t>第</w:t>
      </w:r>
      <w:r>
        <w:rPr>
          <w:rFonts w:ascii="Century Gothic" w:hAnsi="Century Gothic" w:hint="eastAsia"/>
          <w:sz w:val="18"/>
          <w:szCs w:val="18"/>
        </w:rPr>
        <w:t xml:space="preserve"> </w:t>
      </w:r>
      <w:r>
        <w:rPr>
          <w:rFonts w:ascii="Century Gothic" w:hAnsi="Century Gothic" w:hint="eastAsia"/>
          <w:color w:val="333333"/>
          <w:sz w:val="18"/>
          <w:szCs w:val="18"/>
          <w:shd w:val="clear" w:color="auto" w:fill="FFFFFF"/>
        </w:rPr>
        <w:t>2018.05.17.09</w:t>
      </w:r>
      <w:r>
        <w:rPr>
          <w:rFonts w:ascii="Century Gothic" w:hAnsi="Century Gothic" w:hint="eastAsia"/>
          <w:sz w:val="18"/>
          <w:szCs w:val="18"/>
        </w:rPr>
        <w:t xml:space="preserve"> </w:t>
      </w:r>
      <w:r>
        <w:rPr>
          <w:rFonts w:ascii="Century Gothic" w:hAnsi="Century Gothic" w:hint="eastAsia"/>
          <w:sz w:val="18"/>
          <w:szCs w:val="18"/>
        </w:rPr>
        <w:t>号决议</w:t>
      </w:r>
    </w:p>
    <w:p w14:paraId="1FB2852A" w14:textId="3773DC85" w:rsidR="009A63F4" w:rsidRDefault="009A63F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CD3B" w14:textId="195AC6BE" w:rsidR="00776376" w:rsidRDefault="0010091D" w:rsidP="002276FD">
    <w:pPr>
      <w:pStyle w:val="Header"/>
      <w:tabs>
        <w:tab w:val="clear" w:pos="4680"/>
        <w:tab w:val="clear" w:pos="9360"/>
      </w:tabs>
      <w:ind w:left="7920" w:right="-306" w:firstLine="444"/>
    </w:pPr>
    <w:r>
      <w:rPr>
        <w:rFonts w:hint="eastAsia"/>
        <w:noProof/>
      </w:rPr>
      <mc:AlternateContent>
        <mc:Choice Requires="wps">
          <w:drawing>
            <wp:anchor distT="0" distB="0" distL="114300" distR="114300" simplePos="0" relativeHeight="251657728" behindDoc="1" locked="0" layoutInCell="1" allowOverlap="1" wp14:anchorId="14C70CF8" wp14:editId="68DFFC0E">
              <wp:simplePos x="0" y="0"/>
              <wp:positionH relativeFrom="column">
                <wp:posOffset>4535001</wp:posOffset>
              </wp:positionH>
              <wp:positionV relativeFrom="paragraph">
                <wp:posOffset>226647</wp:posOffset>
              </wp:positionV>
              <wp:extent cx="1340485" cy="327704"/>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32770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6E2D9AF" w14:textId="77777777" w:rsidR="00776376" w:rsidRPr="00A12C22" w:rsidRDefault="00776376" w:rsidP="0010091D">
                          <w:pPr>
                            <w:ind w:left="-142"/>
                            <w:jc w:val="right"/>
                            <w:rPr>
                              <w:rFonts w:ascii="Arial Narrow" w:hAnsi="Arial Narrow"/>
                              <w:color w:val="C00000"/>
                              <w:sz w:val="32"/>
                              <w:szCs w:val="32"/>
                            </w:rPr>
                          </w:pPr>
                          <w:r>
                            <w:rPr>
                              <w:rFonts w:ascii="Arial Narrow" w:hAnsi="Arial Narrow" w:hint="eastAsia"/>
                              <w:color w:val="C00000"/>
                              <w:sz w:val="32"/>
                              <w:szCs w:val="32"/>
                            </w:rPr>
                            <w:t xml:space="preserve">GAC </w:t>
                          </w:r>
                          <w:r>
                            <w:rPr>
                              <w:rFonts w:ascii="Arial Narrow" w:hAnsi="Arial Narrow" w:hint="eastAsia"/>
                              <w:color w:val="C00000"/>
                              <w:sz w:val="32"/>
                              <w:szCs w:val="32"/>
                            </w:rPr>
                            <w:t>秘书处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70CF8" id="_x0000_t202" coordsize="21600,21600" o:spt="202" path="m,l,21600r21600,l21600,xe">
              <v:stroke joinstyle="miter"/>
              <v:path gradientshapeok="t" o:connecttype="rect"/>
            </v:shapetype>
            <v:shape id="Text Box 4" o:spid="_x0000_s1026" type="#_x0000_t202" style="position:absolute;left:0;text-align:left;margin-left:357.1pt;margin-top:17.85pt;width:105.55pt;height:2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" stroked="f">
              <v:textbox>
                <w:txbxContent>
                  <w:p w14:paraId="46E2D9AF" w14:textId="77777777" w:rsidR="00776376" w:rsidRPr="00A12C22" w:rsidRDefault="00776376" w:rsidP="0010091D">
                    <w:pPr>
                      <w:ind w:left="-142"/>
                      <w:jc w:val="right"/>
                      <w:rPr>
                        <w:rFonts w:ascii="Arial Narrow" w:hAnsi="Arial Narrow"/>
                        <w:color w:val="C00000"/>
                        <w:sz w:val="32"/>
                        <w:szCs w:val="32"/>
                      </w:rPr>
                    </w:pPr>
                    <w:r>
                      <w:rPr>
                        <w:rFonts w:ascii="Arial Narrow" w:hAnsi="Arial Narrow" w:hint="eastAsia"/>
                        <w:color w:val="C00000"/>
                        <w:sz w:val="32"/>
                        <w:szCs w:val="32"/>
                      </w:rPr>
                      <w:t xml:space="preserve">GAC </w:t>
                    </w:r>
                    <w:r>
                      <w:rPr>
                        <w:rFonts w:ascii="Arial Narrow" w:hAnsi="Arial Narrow" w:hint="eastAsia"/>
                        <w:color w:val="C00000"/>
                        <w:sz w:val="32"/>
                        <w:szCs w:val="32"/>
                      </w:rPr>
                      <w:t>秘书处</w:t>
                    </w:r>
                  </w:p>
                </w:txbxContent>
              </v:textbox>
            </v:shape>
          </w:pict>
        </mc:Fallback>
      </mc:AlternateContent>
    </w:r>
    <w:r w:rsidR="00776376">
      <w:rPr>
        <w:rFonts w:hint="eastAsia"/>
        <w:noProof/>
      </w:rPr>
      <w:drawing>
        <wp:inline distT="0" distB="0" distL="0" distR="0" wp14:anchorId="2EFA62C4" wp14:editId="4CDEF04B">
          <wp:extent cx="421005" cy="269875"/>
          <wp:effectExtent l="19050" t="0" r="0" b="0"/>
          <wp:docPr id="6"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rsidR="00776376">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697E" w14:textId="77777777" w:rsidR="00776376" w:rsidRDefault="00776376" w:rsidP="00C2562C">
    <w:pPr>
      <w:pStyle w:val="Header"/>
      <w:tabs>
        <w:tab w:val="clear" w:pos="9360"/>
      </w:tabs>
      <w:ind w:left="-851"/>
      <w:jc w:val="center"/>
    </w:pPr>
    <w:r>
      <w:rPr>
        <w:rFonts w:hint="eastAsia"/>
        <w:noProof/>
      </w:rPr>
      <w:drawing>
        <wp:inline distT="0" distB="0" distL="0" distR="0" wp14:anchorId="1DC1CA3A" wp14:editId="2E77D994">
          <wp:extent cx="3049905" cy="789940"/>
          <wp:effectExtent l="19050" t="0" r="0" b="0"/>
          <wp:docPr id="2" name="Picture 2"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FE7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A2A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38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DE9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B4F4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28C4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82D0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3EC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9E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741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C6B0A"/>
    <w:multiLevelType w:val="hybridMultilevel"/>
    <w:tmpl w:val="359AD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E09C1"/>
    <w:multiLevelType w:val="hybridMultilevel"/>
    <w:tmpl w:val="E76A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92396"/>
    <w:multiLevelType w:val="multilevel"/>
    <w:tmpl w:val="F056D206"/>
    <w:lvl w:ilvl="0">
      <w:start w:val="1"/>
      <w:numFmt w:val="decimal"/>
      <w:lvlText w:val="%1."/>
      <w:lvlJc w:val="left"/>
      <w:pPr>
        <w:tabs>
          <w:tab w:val="num" w:pos="-600"/>
        </w:tabs>
        <w:ind w:left="-600" w:hanging="360"/>
      </w:pPr>
    </w:lvl>
    <w:lvl w:ilvl="1" w:tentative="1">
      <w:start w:val="1"/>
      <w:numFmt w:val="decimal"/>
      <w:lvlText w:val="%2."/>
      <w:lvlJc w:val="left"/>
      <w:pPr>
        <w:tabs>
          <w:tab w:val="num" w:pos="120"/>
        </w:tabs>
        <w:ind w:left="120" w:hanging="360"/>
      </w:pPr>
    </w:lvl>
    <w:lvl w:ilvl="2" w:tentative="1">
      <w:start w:val="1"/>
      <w:numFmt w:val="decimal"/>
      <w:lvlText w:val="%3."/>
      <w:lvlJc w:val="left"/>
      <w:pPr>
        <w:tabs>
          <w:tab w:val="num" w:pos="840"/>
        </w:tabs>
        <w:ind w:left="840" w:hanging="360"/>
      </w:pPr>
    </w:lvl>
    <w:lvl w:ilvl="3" w:tentative="1">
      <w:start w:val="1"/>
      <w:numFmt w:val="decimal"/>
      <w:lvlText w:val="%4."/>
      <w:lvlJc w:val="left"/>
      <w:pPr>
        <w:tabs>
          <w:tab w:val="num" w:pos="1560"/>
        </w:tabs>
        <w:ind w:left="1560" w:hanging="360"/>
      </w:pPr>
    </w:lvl>
    <w:lvl w:ilvl="4" w:tentative="1">
      <w:start w:val="1"/>
      <w:numFmt w:val="decimal"/>
      <w:lvlText w:val="%5."/>
      <w:lvlJc w:val="left"/>
      <w:pPr>
        <w:tabs>
          <w:tab w:val="num" w:pos="2280"/>
        </w:tabs>
        <w:ind w:left="2280" w:hanging="360"/>
      </w:pPr>
    </w:lvl>
    <w:lvl w:ilvl="5" w:tentative="1">
      <w:start w:val="1"/>
      <w:numFmt w:val="decimal"/>
      <w:lvlText w:val="%6."/>
      <w:lvlJc w:val="left"/>
      <w:pPr>
        <w:tabs>
          <w:tab w:val="num" w:pos="3000"/>
        </w:tabs>
        <w:ind w:left="3000" w:hanging="360"/>
      </w:pPr>
    </w:lvl>
    <w:lvl w:ilvl="6" w:tentative="1">
      <w:start w:val="1"/>
      <w:numFmt w:val="decimal"/>
      <w:lvlText w:val="%7."/>
      <w:lvlJc w:val="left"/>
      <w:pPr>
        <w:tabs>
          <w:tab w:val="num" w:pos="3720"/>
        </w:tabs>
        <w:ind w:left="3720" w:hanging="360"/>
      </w:pPr>
    </w:lvl>
    <w:lvl w:ilvl="7" w:tentative="1">
      <w:start w:val="1"/>
      <w:numFmt w:val="decimal"/>
      <w:lvlText w:val="%8."/>
      <w:lvlJc w:val="left"/>
      <w:pPr>
        <w:tabs>
          <w:tab w:val="num" w:pos="4440"/>
        </w:tabs>
        <w:ind w:left="4440" w:hanging="360"/>
      </w:pPr>
    </w:lvl>
    <w:lvl w:ilvl="8" w:tentative="1">
      <w:start w:val="1"/>
      <w:numFmt w:val="decimal"/>
      <w:lvlText w:val="%9."/>
      <w:lvlJc w:val="left"/>
      <w:pPr>
        <w:tabs>
          <w:tab w:val="num" w:pos="5160"/>
        </w:tabs>
        <w:ind w:left="5160" w:hanging="360"/>
      </w:pPr>
    </w:lvl>
  </w:abstractNum>
  <w:abstractNum w:abstractNumId="13" w15:restartNumberingAfterBreak="0">
    <w:nsid w:val="0A700F5E"/>
    <w:multiLevelType w:val="hybridMultilevel"/>
    <w:tmpl w:val="72A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33AD2"/>
    <w:multiLevelType w:val="hybridMultilevel"/>
    <w:tmpl w:val="8C18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4D54EB"/>
    <w:multiLevelType w:val="hybridMultilevel"/>
    <w:tmpl w:val="2158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72868"/>
    <w:multiLevelType w:val="hybridMultilevel"/>
    <w:tmpl w:val="AA46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944F8"/>
    <w:multiLevelType w:val="hybridMultilevel"/>
    <w:tmpl w:val="75A4B69A"/>
    <w:lvl w:ilvl="0" w:tplc="2A78A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110C2"/>
    <w:multiLevelType w:val="hybridMultilevel"/>
    <w:tmpl w:val="0FF2209A"/>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523C5"/>
    <w:multiLevelType w:val="hybridMultilevel"/>
    <w:tmpl w:val="039E10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245BD"/>
    <w:multiLevelType w:val="hybridMultilevel"/>
    <w:tmpl w:val="3446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94643"/>
    <w:multiLevelType w:val="hybridMultilevel"/>
    <w:tmpl w:val="56C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271BD"/>
    <w:multiLevelType w:val="hybridMultilevel"/>
    <w:tmpl w:val="5B6467FA"/>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83D1D"/>
    <w:multiLevelType w:val="hybridMultilevel"/>
    <w:tmpl w:val="6E60C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B3203"/>
    <w:multiLevelType w:val="hybridMultilevel"/>
    <w:tmpl w:val="9EF6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A7D23"/>
    <w:multiLevelType w:val="hybridMultilevel"/>
    <w:tmpl w:val="0F44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7F5318"/>
    <w:multiLevelType w:val="hybridMultilevel"/>
    <w:tmpl w:val="A88A34A0"/>
    <w:lvl w:ilvl="0" w:tplc="66068FF0">
      <w:start w:val="1"/>
      <w:numFmt w:val="bullet"/>
      <w:pStyle w:val="ListBullet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27" w15:restartNumberingAfterBreak="0">
    <w:nsid w:val="629C3AB7"/>
    <w:multiLevelType w:val="hybridMultilevel"/>
    <w:tmpl w:val="6AB64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DD5D1E"/>
    <w:multiLevelType w:val="hybridMultilevel"/>
    <w:tmpl w:val="29A86D82"/>
    <w:lvl w:ilvl="0" w:tplc="BA3408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52E84"/>
    <w:multiLevelType w:val="hybridMultilevel"/>
    <w:tmpl w:val="BE56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6"/>
  </w:num>
  <w:num w:numId="13">
    <w:abstractNumId w:val="25"/>
  </w:num>
  <w:num w:numId="14">
    <w:abstractNumId w:val="13"/>
  </w:num>
  <w:num w:numId="15">
    <w:abstractNumId w:val="19"/>
  </w:num>
  <w:num w:numId="16">
    <w:abstractNumId w:val="20"/>
  </w:num>
  <w:num w:numId="17">
    <w:abstractNumId w:val="10"/>
  </w:num>
  <w:num w:numId="18">
    <w:abstractNumId w:val="18"/>
  </w:num>
  <w:num w:numId="19">
    <w:abstractNumId w:val="23"/>
  </w:num>
  <w:num w:numId="20">
    <w:abstractNumId w:val="29"/>
  </w:num>
  <w:num w:numId="21">
    <w:abstractNumId w:val="24"/>
  </w:num>
  <w:num w:numId="22">
    <w:abstractNumId w:val="21"/>
  </w:num>
  <w:num w:numId="23">
    <w:abstractNumId w:val="12"/>
  </w:num>
  <w:num w:numId="24">
    <w:abstractNumId w:val="27"/>
  </w:num>
  <w:num w:numId="25">
    <w:abstractNumId w:val="17"/>
  </w:num>
  <w:num w:numId="26">
    <w:abstractNumId w:val="28"/>
  </w:num>
  <w:num w:numId="27">
    <w:abstractNumId w:val="22"/>
  </w:num>
  <w:num w:numId="28">
    <w:abstractNumId w:val="16"/>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0C"/>
    <w:rsid w:val="00001658"/>
    <w:rsid w:val="00017DDB"/>
    <w:rsid w:val="00023512"/>
    <w:rsid w:val="0002714F"/>
    <w:rsid w:val="000328A2"/>
    <w:rsid w:val="00036D48"/>
    <w:rsid w:val="00061B16"/>
    <w:rsid w:val="00083BC8"/>
    <w:rsid w:val="00085123"/>
    <w:rsid w:val="000964B7"/>
    <w:rsid w:val="000966BB"/>
    <w:rsid w:val="000B4BF2"/>
    <w:rsid w:val="000C0FD7"/>
    <w:rsid w:val="000C5167"/>
    <w:rsid w:val="000C6B2E"/>
    <w:rsid w:val="0010091D"/>
    <w:rsid w:val="00114EBF"/>
    <w:rsid w:val="0012744C"/>
    <w:rsid w:val="00130A75"/>
    <w:rsid w:val="00137BBE"/>
    <w:rsid w:val="001577F4"/>
    <w:rsid w:val="0016195D"/>
    <w:rsid w:val="00192306"/>
    <w:rsid w:val="001B337F"/>
    <w:rsid w:val="0020769E"/>
    <w:rsid w:val="002110FA"/>
    <w:rsid w:val="002276FD"/>
    <w:rsid w:val="00227726"/>
    <w:rsid w:val="00241C6F"/>
    <w:rsid w:val="00243693"/>
    <w:rsid w:val="00250279"/>
    <w:rsid w:val="0025104A"/>
    <w:rsid w:val="00262ACB"/>
    <w:rsid w:val="00273354"/>
    <w:rsid w:val="002A3393"/>
    <w:rsid w:val="002B694A"/>
    <w:rsid w:val="002B77F7"/>
    <w:rsid w:val="002F7386"/>
    <w:rsid w:val="00302AA4"/>
    <w:rsid w:val="00327A1A"/>
    <w:rsid w:val="003308BB"/>
    <w:rsid w:val="003401B4"/>
    <w:rsid w:val="003501C8"/>
    <w:rsid w:val="003643C4"/>
    <w:rsid w:val="003644DC"/>
    <w:rsid w:val="00364F2E"/>
    <w:rsid w:val="003961C1"/>
    <w:rsid w:val="003A1AB7"/>
    <w:rsid w:val="003D7A8D"/>
    <w:rsid w:val="00400344"/>
    <w:rsid w:val="00406CEE"/>
    <w:rsid w:val="00412A64"/>
    <w:rsid w:val="00416093"/>
    <w:rsid w:val="004256A5"/>
    <w:rsid w:val="00454CBD"/>
    <w:rsid w:val="0046328D"/>
    <w:rsid w:val="004656DC"/>
    <w:rsid w:val="00477F27"/>
    <w:rsid w:val="00481300"/>
    <w:rsid w:val="00482610"/>
    <w:rsid w:val="004837E2"/>
    <w:rsid w:val="00492E56"/>
    <w:rsid w:val="00495CB5"/>
    <w:rsid w:val="004A58B8"/>
    <w:rsid w:val="004D747F"/>
    <w:rsid w:val="004E22C7"/>
    <w:rsid w:val="004E2498"/>
    <w:rsid w:val="004E28DA"/>
    <w:rsid w:val="0051347B"/>
    <w:rsid w:val="00546686"/>
    <w:rsid w:val="00577F86"/>
    <w:rsid w:val="00580A87"/>
    <w:rsid w:val="00583EE4"/>
    <w:rsid w:val="005B7B51"/>
    <w:rsid w:val="005E2917"/>
    <w:rsid w:val="006075B6"/>
    <w:rsid w:val="00624AEC"/>
    <w:rsid w:val="00652018"/>
    <w:rsid w:val="0066439B"/>
    <w:rsid w:val="00672691"/>
    <w:rsid w:val="006735F6"/>
    <w:rsid w:val="0067792E"/>
    <w:rsid w:val="00683C6C"/>
    <w:rsid w:val="006B4355"/>
    <w:rsid w:val="00700CF9"/>
    <w:rsid w:val="00722431"/>
    <w:rsid w:val="0072423D"/>
    <w:rsid w:val="00731C3E"/>
    <w:rsid w:val="00740F60"/>
    <w:rsid w:val="007670C2"/>
    <w:rsid w:val="00776376"/>
    <w:rsid w:val="007A174E"/>
    <w:rsid w:val="007D32B7"/>
    <w:rsid w:val="007E013D"/>
    <w:rsid w:val="007F5CD3"/>
    <w:rsid w:val="0080662D"/>
    <w:rsid w:val="00815A76"/>
    <w:rsid w:val="00817EAC"/>
    <w:rsid w:val="008246F4"/>
    <w:rsid w:val="008331DD"/>
    <w:rsid w:val="00846BA1"/>
    <w:rsid w:val="00854588"/>
    <w:rsid w:val="008822A3"/>
    <w:rsid w:val="00882354"/>
    <w:rsid w:val="00896848"/>
    <w:rsid w:val="008A2A22"/>
    <w:rsid w:val="008B2849"/>
    <w:rsid w:val="008C4F95"/>
    <w:rsid w:val="009123B6"/>
    <w:rsid w:val="00921AAD"/>
    <w:rsid w:val="00921B8C"/>
    <w:rsid w:val="00962727"/>
    <w:rsid w:val="00974BD6"/>
    <w:rsid w:val="0099631A"/>
    <w:rsid w:val="009A63F4"/>
    <w:rsid w:val="009C77A8"/>
    <w:rsid w:val="00A07882"/>
    <w:rsid w:val="00A12C22"/>
    <w:rsid w:val="00A24449"/>
    <w:rsid w:val="00A25553"/>
    <w:rsid w:val="00A40DB0"/>
    <w:rsid w:val="00A55D0C"/>
    <w:rsid w:val="00A660EB"/>
    <w:rsid w:val="00A742DD"/>
    <w:rsid w:val="00A779C6"/>
    <w:rsid w:val="00A86B36"/>
    <w:rsid w:val="00AA0126"/>
    <w:rsid w:val="00AB2562"/>
    <w:rsid w:val="00AB26F7"/>
    <w:rsid w:val="00AC5490"/>
    <w:rsid w:val="00AC54BB"/>
    <w:rsid w:val="00AD1076"/>
    <w:rsid w:val="00AE6E3D"/>
    <w:rsid w:val="00AE6FD5"/>
    <w:rsid w:val="00B026C8"/>
    <w:rsid w:val="00B21330"/>
    <w:rsid w:val="00B22FE8"/>
    <w:rsid w:val="00B5489D"/>
    <w:rsid w:val="00B7292B"/>
    <w:rsid w:val="00B72D49"/>
    <w:rsid w:val="00BA0533"/>
    <w:rsid w:val="00BE3286"/>
    <w:rsid w:val="00BE60A1"/>
    <w:rsid w:val="00BF4CFB"/>
    <w:rsid w:val="00C020C1"/>
    <w:rsid w:val="00C114D4"/>
    <w:rsid w:val="00C144AE"/>
    <w:rsid w:val="00C21952"/>
    <w:rsid w:val="00C2562C"/>
    <w:rsid w:val="00C26F6D"/>
    <w:rsid w:val="00C3454E"/>
    <w:rsid w:val="00C50C2C"/>
    <w:rsid w:val="00C74517"/>
    <w:rsid w:val="00C87641"/>
    <w:rsid w:val="00C9701E"/>
    <w:rsid w:val="00CC79EF"/>
    <w:rsid w:val="00CD30A8"/>
    <w:rsid w:val="00CD57F8"/>
    <w:rsid w:val="00CF0606"/>
    <w:rsid w:val="00CF4236"/>
    <w:rsid w:val="00CF4E9A"/>
    <w:rsid w:val="00D01CBD"/>
    <w:rsid w:val="00D049CB"/>
    <w:rsid w:val="00D07C27"/>
    <w:rsid w:val="00D17FF3"/>
    <w:rsid w:val="00D35147"/>
    <w:rsid w:val="00D41280"/>
    <w:rsid w:val="00D5733E"/>
    <w:rsid w:val="00D57B30"/>
    <w:rsid w:val="00D86EA8"/>
    <w:rsid w:val="00D9442D"/>
    <w:rsid w:val="00DA436F"/>
    <w:rsid w:val="00DA46B6"/>
    <w:rsid w:val="00DB2F1E"/>
    <w:rsid w:val="00DD2C34"/>
    <w:rsid w:val="00DE1B66"/>
    <w:rsid w:val="00DE621B"/>
    <w:rsid w:val="00DF0C5D"/>
    <w:rsid w:val="00DF27CF"/>
    <w:rsid w:val="00DF5B00"/>
    <w:rsid w:val="00E016F8"/>
    <w:rsid w:val="00E15459"/>
    <w:rsid w:val="00E236BC"/>
    <w:rsid w:val="00E248DA"/>
    <w:rsid w:val="00E3060B"/>
    <w:rsid w:val="00E42E83"/>
    <w:rsid w:val="00E42F1B"/>
    <w:rsid w:val="00E57BDD"/>
    <w:rsid w:val="00E7196B"/>
    <w:rsid w:val="00E82F0C"/>
    <w:rsid w:val="00E9134A"/>
    <w:rsid w:val="00E954EC"/>
    <w:rsid w:val="00EA3A02"/>
    <w:rsid w:val="00EC3C37"/>
    <w:rsid w:val="00EE2665"/>
    <w:rsid w:val="00EF36F3"/>
    <w:rsid w:val="00F06ACB"/>
    <w:rsid w:val="00F21D6A"/>
    <w:rsid w:val="00F42A85"/>
    <w:rsid w:val="00F4462E"/>
    <w:rsid w:val="00F46F4F"/>
    <w:rsid w:val="00F8151B"/>
    <w:rsid w:val="00F96D2C"/>
    <w:rsid w:val="00FC79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ABF6DA"/>
  <w15:docId w15:val="{AA5FD52E-6677-4A99-BD22-E4DEE431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SimSun" w:hAnsi="Century Gothic"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6CEE"/>
    <w:rPr>
      <w:rFonts w:ascii="Calibri" w:hAnsi="Calibri"/>
      <w:sz w:val="24"/>
      <w:szCs w:val="24"/>
      <w:lang w:val="en-US"/>
    </w:rPr>
  </w:style>
  <w:style w:type="paragraph" w:styleId="Heading1">
    <w:name w:val="heading 1"/>
    <w:next w:val="BodyText"/>
    <w:link w:val="Heading1Ch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rPr>
  </w:style>
  <w:style w:type="paragraph" w:styleId="Heading2">
    <w:name w:val="heading 2"/>
    <w:basedOn w:val="BodyText"/>
    <w:next w:val="BodyText"/>
    <w:link w:val="Heading2Char"/>
    <w:autoRedefine/>
    <w:uiPriority w:val="9"/>
    <w:unhideWhenUsed/>
    <w:qFormat/>
    <w:rsid w:val="00E15459"/>
    <w:pPr>
      <w:keepNext/>
      <w:keepLines/>
      <w:ind w:right="545"/>
      <w:outlineLvl w:val="1"/>
    </w:pPr>
    <w:rPr>
      <w:b/>
      <w:color w:val="1F4E79" w:themeColor="accent1" w:themeShade="80"/>
      <w:sz w:val="24"/>
      <w:szCs w:val="24"/>
    </w:rPr>
  </w:style>
  <w:style w:type="paragraph" w:styleId="Heading3">
    <w:name w:val="heading 3"/>
    <w:basedOn w:val="BodyText"/>
    <w:next w:val="BodyText"/>
    <w:link w:val="Heading3Char"/>
    <w:uiPriority w:val="9"/>
    <w:unhideWhenUsed/>
    <w:qFormat/>
    <w:rsid w:val="00CF4E9A"/>
    <w:pPr>
      <w:keepNext/>
      <w:keepLines/>
      <w:jc w:val="left"/>
      <w:outlineLvl w:val="2"/>
    </w:pPr>
    <w:rPr>
      <w:b/>
      <w:color w:val="00408E"/>
    </w:rPr>
  </w:style>
  <w:style w:type="paragraph" w:styleId="Heading4">
    <w:name w:val="heading 4"/>
    <w:basedOn w:val="BodyText"/>
    <w:next w:val="BodyText"/>
    <w:link w:val="Heading4Char"/>
    <w:uiPriority w:val="9"/>
    <w:unhideWhenUsed/>
    <w:qFormat/>
    <w:rsid w:val="004E22C7"/>
    <w:pPr>
      <w:keepNext/>
      <w:keepLines/>
      <w:jc w:val="left"/>
      <w:outlineLvl w:val="3"/>
    </w:pPr>
    <w:rPr>
      <w:color w:val="0040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5459"/>
    <w:rPr>
      <w:b/>
      <w:color w:val="1F4E79" w:themeColor="accent1" w:themeShade="80"/>
      <w:sz w:val="24"/>
      <w:szCs w:val="24"/>
      <w:lang w:eastAsia="zh-CN"/>
    </w:rPr>
  </w:style>
  <w:style w:type="paragraph" w:styleId="TO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rPr>
  </w:style>
  <w:style w:type="paragraph" w:styleId="Header">
    <w:name w:val="header"/>
    <w:basedOn w:val="BodyText"/>
    <w:link w:val="HeaderChar"/>
    <w:uiPriority w:val="99"/>
    <w:unhideWhenUsed/>
    <w:rsid w:val="00A24449"/>
    <w:pPr>
      <w:tabs>
        <w:tab w:val="center" w:pos="4680"/>
        <w:tab w:val="right" w:pos="9360"/>
      </w:tabs>
    </w:pPr>
  </w:style>
  <w:style w:type="character" w:customStyle="1" w:styleId="HeaderChar">
    <w:name w:val="Header Char"/>
    <w:basedOn w:val="DefaultParagraphFont"/>
    <w:link w:val="Header"/>
    <w:uiPriority w:val="99"/>
    <w:rsid w:val="00AD1076"/>
    <w:rPr>
      <w:rFonts w:ascii="Century Gothic" w:eastAsia="SimSun" w:hAnsi="Century Gothic"/>
      <w:szCs w:val="22"/>
      <w:lang w:val="en-AU"/>
    </w:rPr>
  </w:style>
  <w:style w:type="paragraph" w:styleId="Footer">
    <w:name w:val="footer"/>
    <w:basedOn w:val="Normal"/>
    <w:link w:val="FooterChar"/>
    <w:uiPriority w:val="99"/>
    <w:unhideWhenUsed/>
    <w:rsid w:val="00A24449"/>
    <w:pPr>
      <w:tabs>
        <w:tab w:val="center" w:pos="4680"/>
        <w:tab w:val="right" w:pos="9360"/>
      </w:tabs>
      <w:spacing w:after="200" w:line="276" w:lineRule="auto"/>
      <w:jc w:val="both"/>
    </w:pPr>
    <w:rPr>
      <w:rFonts w:ascii="Century Gothic" w:hAnsi="Century Gothic"/>
      <w:sz w:val="20"/>
      <w:szCs w:val="22"/>
    </w:rPr>
  </w:style>
  <w:style w:type="character" w:customStyle="1" w:styleId="FooterChar">
    <w:name w:val="Footer Char"/>
    <w:basedOn w:val="DefaultParagraphFont"/>
    <w:link w:val="Footer"/>
    <w:uiPriority w:val="99"/>
    <w:rsid w:val="00A24449"/>
    <w:rPr>
      <w:rFonts w:ascii="Century Gothic" w:eastAsia="SimSun" w:hAnsi="Century Gothic"/>
      <w:szCs w:val="22"/>
      <w:lang w:val="en-AU"/>
    </w:rPr>
  </w:style>
  <w:style w:type="character" w:customStyle="1" w:styleId="Heading1Char">
    <w:name w:val="Heading 1 Char"/>
    <w:basedOn w:val="DefaultParagraphFont"/>
    <w:link w:val="Heading1"/>
    <w:uiPriority w:val="9"/>
    <w:rsid w:val="00CF4E9A"/>
    <w:rPr>
      <w:b/>
      <w:color w:val="00408E"/>
      <w:sz w:val="28"/>
      <w:szCs w:val="28"/>
      <w:lang w:val="en-AU" w:eastAsia="zh-CN" w:bidi="ar-SA"/>
    </w:rPr>
  </w:style>
  <w:style w:type="paragraph" w:styleId="Title">
    <w:name w:val="Title"/>
    <w:basedOn w:val="BodyText"/>
    <w:next w:val="BodyText"/>
    <w:link w:val="TitleChar"/>
    <w:autoRedefine/>
    <w:uiPriority w:val="10"/>
    <w:qFormat/>
    <w:rsid w:val="00A86B36"/>
    <w:pPr>
      <w:spacing w:before="240" w:after="60"/>
      <w:jc w:val="center"/>
      <w:outlineLvl w:val="0"/>
    </w:pPr>
    <w:rPr>
      <w:rFonts w:eastAsia="Times New Roman"/>
      <w:b/>
      <w:bCs/>
      <w:color w:val="00408E"/>
      <w:kern w:val="28"/>
      <w:sz w:val="48"/>
      <w:szCs w:val="48"/>
    </w:rPr>
  </w:style>
  <w:style w:type="paragraph" w:styleId="BodyText">
    <w:name w:val="Body Text"/>
    <w:link w:val="BodyTextChar"/>
    <w:uiPriority w:val="99"/>
    <w:unhideWhenUsed/>
    <w:qFormat/>
    <w:rsid w:val="004E22C7"/>
    <w:pPr>
      <w:spacing w:after="200" w:line="276" w:lineRule="auto"/>
      <w:jc w:val="both"/>
    </w:pPr>
    <w:rPr>
      <w:szCs w:val="22"/>
    </w:rPr>
  </w:style>
  <w:style w:type="character" w:customStyle="1" w:styleId="BodyTextChar">
    <w:name w:val="Body Text Char"/>
    <w:basedOn w:val="DefaultParagraphFont"/>
    <w:link w:val="BodyText"/>
    <w:uiPriority w:val="99"/>
    <w:rsid w:val="004E22C7"/>
    <w:rPr>
      <w:szCs w:val="22"/>
      <w:lang w:val="en-AU" w:eastAsia="zh-CN" w:bidi="ar-SA"/>
    </w:rPr>
  </w:style>
  <w:style w:type="character" w:customStyle="1" w:styleId="TitleChar">
    <w:name w:val="Title Char"/>
    <w:basedOn w:val="DefaultParagraphFont"/>
    <w:link w:val="Title"/>
    <w:uiPriority w:val="10"/>
    <w:rsid w:val="00A86B36"/>
    <w:rPr>
      <w:rFonts w:eastAsia="Times New Roman"/>
      <w:b/>
      <w:bCs/>
      <w:color w:val="00408E"/>
      <w:kern w:val="28"/>
      <w:sz w:val="48"/>
      <w:szCs w:val="48"/>
      <w:lang w:val="en-AU"/>
    </w:rPr>
  </w:style>
  <w:style w:type="character" w:styleId="Hyperlink">
    <w:name w:val="Hyperlink"/>
    <w:basedOn w:val="DefaultParagraphFont"/>
    <w:uiPriority w:val="99"/>
    <w:unhideWhenUsed/>
    <w:rsid w:val="0072423D"/>
    <w:rPr>
      <w:color w:val="0000FF"/>
      <w:u w:val="single"/>
    </w:rPr>
  </w:style>
  <w:style w:type="character" w:customStyle="1" w:styleId="Heading3Char">
    <w:name w:val="Heading 3 Char"/>
    <w:basedOn w:val="DefaultParagraphFont"/>
    <w:link w:val="Heading3"/>
    <w:uiPriority w:val="9"/>
    <w:rsid w:val="00CF4E9A"/>
    <w:rPr>
      <w:b/>
      <w:color w:val="00408E"/>
      <w:szCs w:val="22"/>
      <w:lang w:val="en-AU"/>
    </w:rPr>
  </w:style>
  <w:style w:type="character" w:customStyle="1" w:styleId="Heading4Char">
    <w:name w:val="Heading 4 Char"/>
    <w:basedOn w:val="DefaultParagraphFont"/>
    <w:link w:val="Heading4"/>
    <w:uiPriority w:val="9"/>
    <w:rsid w:val="004E22C7"/>
    <w:rPr>
      <w:color w:val="00408E"/>
      <w:szCs w:val="22"/>
      <w:lang w:val="en-AU"/>
    </w:rPr>
  </w:style>
  <w:style w:type="paragraph" w:styleId="ListBullet">
    <w:name w:val="List Bullet"/>
    <w:basedOn w:val="ListBullet5"/>
    <w:uiPriority w:val="99"/>
    <w:unhideWhenUsed/>
    <w:qFormat/>
    <w:rsid w:val="004837E2"/>
    <w:pPr>
      <w:tabs>
        <w:tab w:val="num" w:pos="644"/>
      </w:tabs>
      <w:ind w:left="641" w:hanging="357"/>
      <w:contextualSpacing w:val="0"/>
    </w:pPr>
  </w:style>
  <w:style w:type="paragraph" w:styleId="ListBullet2">
    <w:name w:val="List Bullet 2"/>
    <w:basedOn w:val="ListBullet"/>
    <w:uiPriority w:val="99"/>
    <w:unhideWhenUsed/>
    <w:rsid w:val="008C4F95"/>
    <w:pPr>
      <w:numPr>
        <w:numId w:val="12"/>
      </w:numPr>
      <w:tabs>
        <w:tab w:val="num" w:pos="1492"/>
      </w:tabs>
      <w:ind w:left="993"/>
    </w:pPr>
  </w:style>
  <w:style w:type="paragraph" w:styleId="ListContinue">
    <w:name w:val="List Continue"/>
    <w:basedOn w:val="Normal"/>
    <w:uiPriority w:val="99"/>
    <w:unhideWhenUsed/>
    <w:rsid w:val="003961C1"/>
    <w:pPr>
      <w:spacing w:line="276" w:lineRule="auto"/>
      <w:ind w:left="283"/>
      <w:contextualSpacing/>
      <w:jc w:val="both"/>
    </w:pPr>
    <w:rPr>
      <w:rFonts w:ascii="Century Gothic" w:hAnsi="Century Gothic"/>
      <w:sz w:val="20"/>
      <w:szCs w:val="22"/>
    </w:rPr>
  </w:style>
  <w:style w:type="paragraph" w:styleId="ListBullet3">
    <w:name w:val="List Bullet 3"/>
    <w:basedOn w:val="Normal"/>
    <w:uiPriority w:val="99"/>
    <w:unhideWhenUsed/>
    <w:rsid w:val="003961C1"/>
    <w:pPr>
      <w:numPr>
        <w:numId w:val="3"/>
      </w:numPr>
      <w:spacing w:after="200" w:line="276" w:lineRule="auto"/>
      <w:contextualSpacing/>
      <w:jc w:val="both"/>
    </w:pPr>
    <w:rPr>
      <w:rFonts w:ascii="Century Gothic" w:hAnsi="Century Gothic"/>
      <w:sz w:val="20"/>
      <w:szCs w:val="22"/>
    </w:rPr>
  </w:style>
  <w:style w:type="paragraph" w:styleId="ListBullet4">
    <w:name w:val="List Bullet 4"/>
    <w:basedOn w:val="Normal"/>
    <w:uiPriority w:val="99"/>
    <w:unhideWhenUsed/>
    <w:rsid w:val="003961C1"/>
    <w:pPr>
      <w:numPr>
        <w:numId w:val="4"/>
      </w:numPr>
      <w:spacing w:after="200" w:line="276" w:lineRule="auto"/>
      <w:contextualSpacing/>
      <w:jc w:val="both"/>
    </w:pPr>
    <w:rPr>
      <w:rFonts w:ascii="Century Gothic" w:hAnsi="Century Gothic"/>
      <w:sz w:val="20"/>
      <w:szCs w:val="22"/>
    </w:rPr>
  </w:style>
  <w:style w:type="paragraph" w:styleId="ListBullet5">
    <w:name w:val="List Bullet 5"/>
    <w:basedOn w:val="Normal"/>
    <w:uiPriority w:val="99"/>
    <w:unhideWhenUsed/>
    <w:rsid w:val="003961C1"/>
    <w:pPr>
      <w:numPr>
        <w:numId w:val="5"/>
      </w:numPr>
      <w:spacing w:after="200" w:line="276" w:lineRule="auto"/>
      <w:contextualSpacing/>
      <w:jc w:val="both"/>
    </w:pPr>
    <w:rPr>
      <w:rFonts w:ascii="Century Gothic" w:hAnsi="Century Gothic"/>
      <w:sz w:val="20"/>
      <w:szCs w:val="22"/>
    </w:rPr>
  </w:style>
  <w:style w:type="paragraph" w:styleId="ListParagraph">
    <w:name w:val="List Paragraph"/>
    <w:basedOn w:val="Normal"/>
    <w:uiPriority w:val="34"/>
    <w:qFormat/>
    <w:rsid w:val="00C26F6D"/>
    <w:pPr>
      <w:spacing w:after="200" w:line="276" w:lineRule="auto"/>
      <w:ind w:left="720"/>
      <w:jc w:val="both"/>
    </w:pPr>
    <w:rPr>
      <w:rFonts w:ascii="Century Gothic" w:hAnsi="Century Gothic"/>
      <w:sz w:val="20"/>
      <w:szCs w:val="22"/>
    </w:rPr>
  </w:style>
  <w:style w:type="paragraph" w:styleId="TOAHeading">
    <w:name w:val="toa heading"/>
    <w:basedOn w:val="Heading1"/>
    <w:next w:val="Normal"/>
    <w:uiPriority w:val="99"/>
    <w:unhideWhenUsed/>
    <w:rsid w:val="000C5167"/>
    <w:pPr>
      <w:spacing w:after="400"/>
    </w:pPr>
  </w:style>
  <w:style w:type="table" w:styleId="TableGrid">
    <w:name w:val="Table Grid"/>
    <w:basedOn w:val="Table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rPr>
  </w:style>
  <w:style w:type="paragraph" w:styleId="NoSpacing">
    <w:name w:val="No Spacing"/>
    <w:uiPriority w:val="1"/>
    <w:qFormat/>
    <w:rsid w:val="00C2562C"/>
    <w:pPr>
      <w:jc w:val="both"/>
    </w:pPr>
    <w:rPr>
      <w:szCs w:val="22"/>
    </w:rPr>
  </w:style>
  <w:style w:type="paragraph" w:styleId="FootnoteText">
    <w:name w:val="footnote text"/>
    <w:basedOn w:val="Normal"/>
    <w:link w:val="FootnoteTextChar"/>
    <w:uiPriority w:val="99"/>
    <w:unhideWhenUsed/>
    <w:rsid w:val="00406CEE"/>
  </w:style>
  <w:style w:type="character" w:customStyle="1" w:styleId="FootnoteTextChar">
    <w:name w:val="Footnote Text Char"/>
    <w:basedOn w:val="DefaultParagraphFont"/>
    <w:link w:val="FootnoteText"/>
    <w:uiPriority w:val="99"/>
    <w:rsid w:val="00406CEE"/>
    <w:rPr>
      <w:rFonts w:ascii="Calibri" w:eastAsia="SimSun" w:hAnsi="Calibri" w:cs="Times New Roman"/>
      <w:sz w:val="24"/>
      <w:szCs w:val="24"/>
    </w:rPr>
  </w:style>
  <w:style w:type="character" w:styleId="FootnoteReference">
    <w:name w:val="footnote reference"/>
    <w:basedOn w:val="DefaultParagraphFont"/>
    <w:uiPriority w:val="99"/>
    <w:unhideWhenUsed/>
    <w:rsid w:val="00406CEE"/>
    <w:rPr>
      <w:vertAlign w:val="superscript"/>
    </w:rPr>
  </w:style>
  <w:style w:type="paragraph" w:styleId="BalloonText">
    <w:name w:val="Balloon Text"/>
    <w:basedOn w:val="Normal"/>
    <w:link w:val="BalloonTextChar"/>
    <w:uiPriority w:val="99"/>
    <w:semiHidden/>
    <w:unhideWhenUsed/>
    <w:rsid w:val="00406CEE"/>
    <w:rPr>
      <w:rFonts w:ascii="Tahoma" w:hAnsi="Tahoma" w:cs="Tahoma"/>
      <w:sz w:val="16"/>
      <w:szCs w:val="16"/>
    </w:rPr>
  </w:style>
  <w:style w:type="character" w:customStyle="1" w:styleId="BalloonTextChar">
    <w:name w:val="Balloon Text Char"/>
    <w:basedOn w:val="DefaultParagraphFont"/>
    <w:link w:val="BalloonText"/>
    <w:uiPriority w:val="99"/>
    <w:semiHidden/>
    <w:rsid w:val="00406CEE"/>
    <w:rPr>
      <w:rFonts w:ascii="Tahoma" w:eastAsia="SimSun" w:hAnsi="Tahoma" w:cs="Tahoma"/>
      <w:sz w:val="16"/>
      <w:szCs w:val="16"/>
    </w:rPr>
  </w:style>
  <w:style w:type="character" w:styleId="UnresolvedMention">
    <w:name w:val="Unresolved Mention"/>
    <w:basedOn w:val="DefaultParagraphFont"/>
    <w:uiPriority w:val="99"/>
    <w:rsid w:val="00302A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52756">
      <w:bodyDiv w:val="1"/>
      <w:marLeft w:val="0"/>
      <w:marRight w:val="0"/>
      <w:marTop w:val="0"/>
      <w:marBottom w:val="0"/>
      <w:divBdr>
        <w:top w:val="none" w:sz="0" w:space="0" w:color="auto"/>
        <w:left w:val="none" w:sz="0" w:space="0" w:color="auto"/>
        <w:bottom w:val="none" w:sz="0" w:space="0" w:color="auto"/>
        <w:right w:val="none" w:sz="0" w:space="0" w:color="auto"/>
      </w:divBdr>
    </w:div>
    <w:div w:id="1442535300">
      <w:bodyDiv w:val="1"/>
      <w:marLeft w:val="0"/>
      <w:marRight w:val="0"/>
      <w:marTop w:val="0"/>
      <w:marBottom w:val="0"/>
      <w:divBdr>
        <w:top w:val="none" w:sz="0" w:space="0" w:color="auto"/>
        <w:left w:val="none" w:sz="0" w:space="0" w:color="auto"/>
        <w:bottom w:val="none" w:sz="0" w:space="0" w:color="auto"/>
        <w:right w:val="none" w:sz="0" w:space="0" w:color="auto"/>
      </w:divBdr>
    </w:div>
    <w:div w:id="1912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nso.icann.org/sites/default/files/file/field-file-attach/annex-4-epdp-manual-30jan18-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62.schedule.ican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cann.org/dataprotectionprivacy" TargetMode="External"/><Relationship Id="rId4" Type="http://schemas.openxmlformats.org/officeDocument/2006/relationships/settings" Target="settings.xml"/><Relationship Id="rId9" Type="http://schemas.openxmlformats.org/officeDocument/2006/relationships/hyperlink" Target="https://gac.icann.org/activity/whois-compliance-with-gdpr-referenc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039C-C9F7-4D81-8E8B-AD6B5A38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3155</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Thomas Dale</dc:creator>
  <cp:lastModifiedBy>Cherry_wu</cp:lastModifiedBy>
  <cp:revision>5</cp:revision>
  <cp:lastPrinted>2018-06-21T09:11:00Z</cp:lastPrinted>
  <dcterms:created xsi:type="dcterms:W3CDTF">2018-06-07T09:25:00Z</dcterms:created>
  <dcterms:modified xsi:type="dcterms:W3CDTF">2018-06-21T09:11:00Z</dcterms:modified>
</cp:coreProperties>
</file>